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03" w:firstLineChars="200"/>
        <w:jc w:val="right"/>
        <w:rPr>
          <w:rFonts w:eastAsia="楷体_GB2312"/>
          <w:b/>
          <w:bCs/>
          <w:snapToGrid w:val="0"/>
          <w:color w:val="000000"/>
          <w:sz w:val="40"/>
        </w:rPr>
      </w:pPr>
      <w:r>
        <w:rPr>
          <w:rFonts w:eastAsia="楷体_GB2312"/>
          <w:b/>
          <w:bCs/>
          <w:snapToGrid w:val="0"/>
          <w:color w:val="000000"/>
          <w:sz w:val="40"/>
        </w:rPr>
        <w:t>内部参阅</w:t>
      </w:r>
    </w:p>
    <w:p>
      <w:pPr>
        <w:jc w:val="center"/>
        <w:rPr>
          <w:b/>
          <w:bCs/>
          <w:snapToGrid w:val="0"/>
          <w:color w:val="FF0000"/>
          <w:spacing w:val="50"/>
          <w:sz w:val="56"/>
          <w:szCs w:val="56"/>
        </w:rPr>
      </w:pPr>
      <w:r>
        <w:rPr>
          <w:rFonts w:eastAsia="方正小标宋简体"/>
          <w:b/>
          <w:bCs/>
          <w:snapToGrid w:val="0"/>
          <w:color w:val="FF0000"/>
          <w:spacing w:val="50"/>
          <w:sz w:val="56"/>
          <w:szCs w:val="56"/>
        </w:rPr>
        <w:t>教科研成果推广应用简报</w:t>
      </w:r>
    </w:p>
    <w:p>
      <w:pPr>
        <w:tabs>
          <w:tab w:val="right" w:pos="8497"/>
        </w:tabs>
        <w:ind w:firstLine="602" w:firstLineChars="200"/>
        <w:jc w:val="center"/>
        <w:rPr>
          <w:rFonts w:eastAsia="楷体_GB2312"/>
          <w:b/>
          <w:snapToGrid w:val="0"/>
          <w:color w:val="000000"/>
          <w:kern w:val="0"/>
          <w:sz w:val="30"/>
          <w:szCs w:val="30"/>
        </w:rPr>
      </w:pPr>
      <w:r>
        <w:rPr>
          <w:rFonts w:eastAsia="楷体_GB2312"/>
          <w:b/>
          <w:snapToGrid w:val="0"/>
          <w:color w:val="000000"/>
          <w:kern w:val="0"/>
          <w:sz w:val="30"/>
          <w:szCs w:val="30"/>
        </w:rPr>
        <w:t xml:space="preserve">2023年第 </w:t>
      </w:r>
      <w:r>
        <w:rPr>
          <w:rFonts w:hint="eastAsia" w:eastAsia="楷体_GB2312"/>
          <w:b/>
          <w:snapToGrid w:val="0"/>
          <w:color w:val="000000"/>
          <w:kern w:val="0"/>
          <w:sz w:val="30"/>
          <w:szCs w:val="30"/>
        </w:rPr>
        <w:t>3</w:t>
      </w:r>
      <w:r>
        <w:rPr>
          <w:rFonts w:eastAsia="楷体_GB2312"/>
          <w:b/>
          <w:snapToGrid w:val="0"/>
          <w:color w:val="000000"/>
          <w:kern w:val="0"/>
          <w:sz w:val="30"/>
          <w:szCs w:val="30"/>
        </w:rPr>
        <w:t xml:space="preserve"> 期（总第 1</w:t>
      </w:r>
      <w:r>
        <w:rPr>
          <w:rFonts w:hint="eastAsia" w:eastAsia="楷体_GB2312"/>
          <w:b/>
          <w:snapToGrid w:val="0"/>
          <w:color w:val="000000"/>
          <w:kern w:val="0"/>
          <w:sz w:val="30"/>
          <w:szCs w:val="30"/>
        </w:rPr>
        <w:t>7</w:t>
      </w:r>
      <w:r>
        <w:rPr>
          <w:rFonts w:eastAsia="楷体_GB2312"/>
          <w:b/>
          <w:snapToGrid w:val="0"/>
          <w:color w:val="000000"/>
          <w:kern w:val="0"/>
          <w:sz w:val="30"/>
          <w:szCs w:val="30"/>
        </w:rPr>
        <w:t xml:space="preserve"> 期）</w:t>
      </w:r>
    </w:p>
    <w:p>
      <w:pPr>
        <w:tabs>
          <w:tab w:val="right" w:pos="8497"/>
        </w:tabs>
        <w:ind w:firstLine="602" w:firstLineChars="200"/>
        <w:jc w:val="center"/>
        <w:rPr>
          <w:rFonts w:eastAsia="楷体_GB2312"/>
          <w:b/>
          <w:snapToGrid w:val="0"/>
          <w:color w:val="000000"/>
          <w:kern w:val="0"/>
          <w:sz w:val="30"/>
          <w:szCs w:val="30"/>
        </w:rPr>
      </w:pPr>
    </w:p>
    <w:p>
      <w:pPr>
        <w:tabs>
          <w:tab w:val="right" w:pos="8497"/>
        </w:tabs>
        <w:ind w:firstLine="562" w:firstLineChars="200"/>
        <w:rPr>
          <w:rFonts w:eastAsia="楷体_GB2312"/>
          <w:b/>
          <w:bCs/>
          <w:snapToGrid w:val="0"/>
          <w:color w:val="000000"/>
          <w:kern w:val="0"/>
          <w:sz w:val="28"/>
          <w:szCs w:val="28"/>
        </w:rPr>
      </w:pPr>
      <w:r>
        <w:rPr>
          <w:rFonts w:eastAsia="楷体_GB2312"/>
          <w:b/>
          <w:snapToGrid w:val="0"/>
          <w:color w:val="000000"/>
          <w:kern w:val="0"/>
          <w:sz w:val="28"/>
          <w:szCs w:val="28"/>
        </w:rPr>
        <w:t>包头职业技术学院            科研处</w:t>
      </w:r>
      <w:r>
        <w:rPr>
          <w:rFonts w:eastAsia="楷体_GB2312"/>
          <w:b/>
          <w:bCs/>
          <w:snapToGrid w:val="0"/>
          <w:color w:val="000000"/>
          <w:kern w:val="0"/>
          <w:sz w:val="28"/>
          <w:szCs w:val="28"/>
        </w:rPr>
        <w:t xml:space="preserve">          </w:t>
      </w:r>
      <w:r>
        <w:rPr>
          <w:rFonts w:eastAsia="楷体_GB2312"/>
          <w:b/>
          <w:snapToGrid w:val="0"/>
          <w:color w:val="000000"/>
          <w:kern w:val="0"/>
          <w:sz w:val="28"/>
          <w:szCs w:val="28"/>
        </w:rPr>
        <w:t>2023年</w:t>
      </w:r>
      <w:r>
        <w:rPr>
          <w:rFonts w:hint="eastAsia" w:eastAsia="楷体_GB2312"/>
          <w:b/>
          <w:snapToGrid w:val="0"/>
          <w:color w:val="000000"/>
          <w:kern w:val="0"/>
          <w:sz w:val="28"/>
          <w:szCs w:val="28"/>
        </w:rPr>
        <w:t>3</w:t>
      </w:r>
      <w:r>
        <w:rPr>
          <w:rFonts w:eastAsia="楷体_GB2312"/>
          <w:b/>
          <w:snapToGrid w:val="0"/>
          <w:color w:val="000000"/>
          <w:kern w:val="0"/>
          <w:sz w:val="28"/>
          <w:szCs w:val="28"/>
        </w:rPr>
        <w:t>月</w:t>
      </w:r>
      <w:r>
        <w:rPr>
          <w:rFonts w:hint="eastAsia" w:eastAsia="楷体_GB2312"/>
          <w:b/>
          <w:snapToGrid w:val="0"/>
          <w:color w:val="000000"/>
          <w:kern w:val="0"/>
          <w:sz w:val="28"/>
          <w:szCs w:val="28"/>
        </w:rPr>
        <w:t>2</w:t>
      </w:r>
      <w:r>
        <w:rPr>
          <w:rFonts w:eastAsia="楷体_GB2312"/>
          <w:b/>
          <w:snapToGrid w:val="0"/>
          <w:color w:val="000000"/>
          <w:kern w:val="0"/>
          <w:sz w:val="28"/>
          <w:szCs w:val="28"/>
        </w:rPr>
        <w:t>1 日</w:t>
      </w:r>
    </w:p>
    <w:p>
      <w:pPr>
        <w:ind w:firstLine="602" w:firstLineChars="200"/>
        <w:rPr>
          <w:snapToGrid w:val="0"/>
          <w:sz w:val="28"/>
          <w:szCs w:val="28"/>
        </w:rPr>
      </w:pPr>
      <w:r>
        <w:rPr>
          <w:rFonts w:eastAsia="楷体_GB2312"/>
          <w:b/>
          <w:bCs/>
          <w:snapToGrid w:val="0"/>
          <w:color w:val="000000"/>
          <w:kern w:val="0"/>
          <w:sz w:val="30"/>
          <w:szCs w:val="3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141605</wp:posOffset>
                </wp:positionV>
                <wp:extent cx="6219825" cy="0"/>
                <wp:effectExtent l="0" t="19050" r="9525" b="19050"/>
                <wp:wrapNone/>
                <wp:docPr id="1" name="直线 2"/>
                <wp:cNvGraphicFramePr/>
                <a:graphic xmlns:a="http://schemas.openxmlformats.org/drawingml/2006/main">
                  <a:graphicData uri="http://schemas.microsoft.com/office/word/2010/wordprocessingShape">
                    <wps:wsp>
                      <wps:cNvCnPr/>
                      <wps:spPr>
                        <a:xfrm flipV="1">
                          <a:off x="0" y="0"/>
                          <a:ext cx="6219825" cy="0"/>
                        </a:xfrm>
                        <a:prstGeom prst="line">
                          <a:avLst/>
                        </a:prstGeom>
                        <a:ln w="38100" cap="flat" cmpd="thickThin">
                          <a:solidFill>
                            <a:srgbClr val="FF0000"/>
                          </a:solidFill>
                          <a:prstDash val="solid"/>
                          <a:headEnd type="none" w="med" len="med"/>
                          <a:tailEnd type="none" w="med" len="med"/>
                        </a:ln>
                      </wps:spPr>
                      <wps:bodyPr/>
                    </wps:wsp>
                  </a:graphicData>
                </a:graphic>
              </wp:anchor>
            </w:drawing>
          </mc:Choice>
          <mc:Fallback>
            <w:pict>
              <v:line id="直线 2" o:spid="_x0000_s1026" o:spt="20" style="position:absolute;left:0pt;flip:y;margin-left:0pt;margin-top:11.15pt;height:0pt;width:489.75pt;z-index:251659264;mso-width-relative:page;mso-height-relative:page;" filled="f" stroked="t" coordsize="21600,21600" o:gfxdata="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Yy8p2AAAAAYBAAAPAAAAAAAAAAEAIAAAACIAAABkcnMvZG93bnJldi54bWxQSwECFAAUAAAA&#10;CACHTuJA9cz06O4BAADgAwAADgAAAAAAAAABACAAAAAnAQAAZHJzL2Uyb0RvYy54bWxQSwUGAAAA&#10;AAYABgBZAQAAhwUAAAAA&#10;">
                <v:fill on="f" focussize="0,0"/>
                <v:stroke weight="3pt" color="#FF0000" linestyle="thickThin" joinstyle="round"/>
                <v:imagedata o:title=""/>
                <o:lock v:ext="edit" aspectratio="f"/>
              </v:line>
            </w:pict>
          </mc:Fallback>
        </mc:AlternateContent>
      </w:r>
    </w:p>
    <w:p>
      <w:pPr>
        <w:ind w:firstLine="560" w:firstLineChars="200"/>
        <w:rPr>
          <w:color w:val="000000"/>
          <w:kern w:val="0"/>
          <w:sz w:val="28"/>
          <w:szCs w:val="28"/>
        </w:rPr>
      </w:pPr>
      <w:r>
        <w:rPr>
          <w:snapToGrid w:val="0"/>
          <w:sz w:val="28"/>
          <w:szCs w:val="28"/>
        </w:rPr>
        <w:t>【</w:t>
      </w:r>
      <w:r>
        <w:rPr>
          <w:b/>
          <w:bCs/>
          <w:snapToGrid w:val="0"/>
          <w:sz w:val="28"/>
          <w:szCs w:val="28"/>
        </w:rPr>
        <w:t>教科研成果</w:t>
      </w:r>
      <w:r>
        <w:rPr>
          <w:snapToGrid w:val="0"/>
          <w:sz w:val="28"/>
          <w:szCs w:val="28"/>
        </w:rPr>
        <w:t>】</w:t>
      </w:r>
      <w:r>
        <w:rPr>
          <w:kern w:val="0"/>
          <w:sz w:val="28"/>
          <w:szCs w:val="28"/>
        </w:rPr>
        <w:t xml:space="preserve"> 《</w:t>
      </w:r>
      <w:r>
        <w:rPr>
          <w:rFonts w:hint="eastAsia"/>
          <w:kern w:val="0"/>
          <w:sz w:val="28"/>
          <w:szCs w:val="28"/>
        </w:rPr>
        <w:t>内蒙古智牧溯源技术开发有限公司牛养殖大数据采集装置技术服务项目</w:t>
      </w:r>
      <w:r>
        <w:rPr>
          <w:kern w:val="0"/>
          <w:sz w:val="28"/>
          <w:szCs w:val="28"/>
        </w:rPr>
        <w:t>》</w:t>
      </w:r>
      <w:r>
        <w:rPr>
          <w:snapToGrid w:val="0"/>
          <w:sz w:val="28"/>
          <w:szCs w:val="28"/>
          <w:lang w:eastAsia="zh-Hans"/>
        </w:rPr>
        <w:t>是</w:t>
      </w:r>
      <w:r>
        <w:rPr>
          <w:kern w:val="0"/>
          <w:sz w:val="28"/>
          <w:szCs w:val="28"/>
        </w:rPr>
        <w:t>2022年度</w:t>
      </w:r>
      <w:r>
        <w:rPr>
          <w:rFonts w:hint="eastAsia"/>
          <w:kern w:val="0"/>
          <w:sz w:val="28"/>
          <w:szCs w:val="28"/>
        </w:rPr>
        <w:t>内蒙古智牧溯源技术开发有限公司委托包头职业技术学院完成的技术项目</w:t>
      </w:r>
      <w:r>
        <w:rPr>
          <w:kern w:val="0"/>
          <w:sz w:val="28"/>
          <w:szCs w:val="28"/>
        </w:rPr>
        <w:t>，结项验收结果为良好。</w:t>
      </w:r>
    </w:p>
    <w:p>
      <w:pPr>
        <w:ind w:firstLine="643" w:firstLineChars="200"/>
        <w:rPr>
          <w:rFonts w:eastAsia="黑体"/>
          <w:b/>
          <w:bCs/>
          <w:snapToGrid w:val="0"/>
          <w:sz w:val="32"/>
          <w:szCs w:val="32"/>
        </w:rPr>
      </w:pPr>
      <w:r>
        <w:rPr>
          <w:rFonts w:eastAsia="黑体"/>
          <w:b/>
          <w:bCs/>
          <w:snapToGrid w:val="0"/>
          <w:sz w:val="32"/>
          <w:szCs w:val="32"/>
        </w:rPr>
        <w:t>《</w:t>
      </w:r>
      <w:r>
        <w:rPr>
          <w:rFonts w:hint="eastAsia" w:eastAsia="黑体"/>
          <w:b/>
          <w:bCs/>
          <w:snapToGrid w:val="0"/>
          <w:sz w:val="32"/>
          <w:szCs w:val="32"/>
        </w:rPr>
        <w:t>内蒙古智牧溯源技术开发有限公司牛养殖大数据采集装置</w:t>
      </w:r>
    </w:p>
    <w:p>
      <w:pPr>
        <w:ind w:firstLine="643" w:firstLineChars="200"/>
        <w:jc w:val="center"/>
        <w:rPr>
          <w:b/>
          <w:bCs/>
          <w:snapToGrid w:val="0"/>
          <w:sz w:val="32"/>
          <w:szCs w:val="32"/>
        </w:rPr>
      </w:pPr>
      <w:r>
        <w:rPr>
          <w:rFonts w:hint="eastAsia" w:eastAsia="黑体"/>
          <w:b/>
          <w:bCs/>
          <w:snapToGrid w:val="0"/>
          <w:sz w:val="32"/>
          <w:szCs w:val="32"/>
        </w:rPr>
        <w:t>技术服务项目</w:t>
      </w:r>
      <w:r>
        <w:rPr>
          <w:rFonts w:eastAsia="黑体"/>
          <w:b/>
          <w:bCs/>
          <w:snapToGrid w:val="0"/>
          <w:sz w:val="32"/>
          <w:szCs w:val="32"/>
        </w:rPr>
        <w:t>》</w:t>
      </w:r>
    </w:p>
    <w:p>
      <w:pPr>
        <w:pStyle w:val="32"/>
        <w:spacing w:line="300" w:lineRule="auto"/>
        <w:ind w:firstLine="1680" w:firstLineChars="600"/>
        <w:rPr>
          <w:rFonts w:ascii="Times New Roman" w:hAnsi="Times New Roman"/>
          <w:color w:val="000000"/>
          <w:kern w:val="0"/>
          <w:sz w:val="28"/>
          <w:szCs w:val="28"/>
        </w:rPr>
      </w:pPr>
      <w:r>
        <w:rPr>
          <w:rFonts w:ascii="Times New Roman" w:hAnsi="Times New Roman"/>
          <w:color w:val="000000"/>
          <w:kern w:val="0"/>
          <w:sz w:val="28"/>
          <w:szCs w:val="28"/>
        </w:rPr>
        <w:t>主要完成人和完成单位：</w:t>
      </w:r>
    </w:p>
    <w:p>
      <w:pPr>
        <w:pStyle w:val="32"/>
        <w:spacing w:line="300" w:lineRule="auto"/>
        <w:ind w:left="2516" w:leftChars="798" w:hanging="840" w:hangingChars="300"/>
        <w:rPr>
          <w:rFonts w:ascii="Times New Roman" w:hAnsi="Times New Roman"/>
          <w:sz w:val="28"/>
          <w:szCs w:val="28"/>
        </w:rPr>
      </w:pPr>
      <w:r>
        <w:rPr>
          <w:rFonts w:ascii="Times New Roman" w:hAnsi="Times New Roman"/>
          <w:sz w:val="28"/>
          <w:szCs w:val="28"/>
        </w:rPr>
        <w:t>包头职业技术学院：</w:t>
      </w:r>
      <w:r>
        <w:rPr>
          <w:rFonts w:hint="eastAsia" w:ascii="Times New Roman" w:hAnsi="Times New Roman"/>
          <w:sz w:val="28"/>
          <w:szCs w:val="28"/>
        </w:rPr>
        <w:t>周小凤</w:t>
      </w:r>
      <w:r>
        <w:rPr>
          <w:rFonts w:ascii="Times New Roman" w:hAnsi="Times New Roman"/>
          <w:sz w:val="28"/>
          <w:szCs w:val="28"/>
        </w:rPr>
        <w:t xml:space="preserve"> </w:t>
      </w:r>
      <w:r>
        <w:rPr>
          <w:rFonts w:hint="eastAsia" w:ascii="Times New Roman" w:hAnsi="Times New Roman"/>
          <w:sz w:val="28"/>
          <w:szCs w:val="28"/>
        </w:rPr>
        <w:t>郭晓勇</w:t>
      </w:r>
      <w:r>
        <w:rPr>
          <w:rFonts w:ascii="Times New Roman" w:hAnsi="Times New Roman"/>
          <w:sz w:val="28"/>
          <w:szCs w:val="28"/>
        </w:rPr>
        <w:t xml:space="preserve"> </w:t>
      </w:r>
      <w:r>
        <w:rPr>
          <w:rFonts w:hint="eastAsia" w:ascii="Times New Roman" w:hAnsi="Times New Roman"/>
          <w:sz w:val="28"/>
          <w:szCs w:val="28"/>
        </w:rPr>
        <w:t>田素娟</w:t>
      </w:r>
      <w:r>
        <w:rPr>
          <w:rFonts w:ascii="Times New Roman" w:hAnsi="Times New Roman"/>
          <w:sz w:val="28"/>
          <w:szCs w:val="28"/>
        </w:rPr>
        <w:t xml:space="preserve">  </w:t>
      </w:r>
    </w:p>
    <w:p>
      <w:pPr>
        <w:pStyle w:val="32"/>
        <w:spacing w:line="300" w:lineRule="auto"/>
        <w:ind w:left="2516" w:leftChars="798" w:hanging="840" w:hangingChars="300"/>
        <w:rPr>
          <w:rFonts w:ascii="Times New Roman" w:hAnsi="Times New Roman"/>
          <w:sz w:val="28"/>
          <w:szCs w:val="28"/>
        </w:rPr>
      </w:pPr>
      <w:r>
        <w:rPr>
          <w:rFonts w:hint="eastAsia" w:ascii="Times New Roman" w:hAnsi="Times New Roman"/>
          <w:sz w:val="28"/>
          <w:szCs w:val="28"/>
        </w:rPr>
        <w:t>内蒙古科技大学</w:t>
      </w:r>
      <w:r>
        <w:rPr>
          <w:rFonts w:ascii="Times New Roman" w:hAnsi="Times New Roman"/>
          <w:sz w:val="28"/>
          <w:szCs w:val="28"/>
        </w:rPr>
        <w:t>：</w:t>
      </w:r>
      <w:r>
        <w:rPr>
          <w:rFonts w:hint="eastAsia" w:ascii="Times New Roman" w:hAnsi="Times New Roman"/>
          <w:sz w:val="28"/>
          <w:szCs w:val="28"/>
        </w:rPr>
        <w:t>肖俊生</w:t>
      </w:r>
    </w:p>
    <w:p>
      <w:pPr>
        <w:ind w:firstLine="560" w:firstLineChars="200"/>
        <w:rPr>
          <w:color w:val="000000" w:themeColor="text1"/>
          <w:sz w:val="28"/>
          <w:szCs w:val="28"/>
          <w:lang w:eastAsia="zh-Hans"/>
          <w14:textFill>
            <w14:solidFill>
              <w14:schemeClr w14:val="tx1"/>
            </w14:solidFill>
          </w14:textFill>
        </w:rPr>
      </w:pPr>
      <w:r>
        <w:rPr>
          <w:color w:val="000000" w:themeColor="text1"/>
          <w:sz w:val="28"/>
          <w:szCs w:val="28"/>
          <w14:textFill>
            <w14:solidFill>
              <w14:schemeClr w14:val="tx1"/>
            </w14:solidFill>
          </w14:textFill>
        </w:rPr>
        <w:t>【</w:t>
      </w:r>
      <w:r>
        <w:rPr>
          <w:b/>
          <w:bCs/>
          <w:color w:val="000000" w:themeColor="text1"/>
          <w:sz w:val="28"/>
          <w:szCs w:val="28"/>
          <w:lang w:eastAsia="zh-Hans"/>
          <w14:textFill>
            <w14:solidFill>
              <w14:schemeClr w14:val="tx1"/>
            </w14:solidFill>
          </w14:textFill>
        </w:rPr>
        <w:t>成果内容</w:t>
      </w:r>
      <w:r>
        <w:rPr>
          <w:color w:val="000000" w:themeColor="text1"/>
          <w:sz w:val="28"/>
          <w:szCs w:val="28"/>
          <w14:textFill>
            <w14:solidFill>
              <w14:schemeClr w14:val="tx1"/>
            </w14:solidFill>
          </w14:textFill>
        </w:rPr>
        <w:t>】</w:t>
      </w:r>
    </w:p>
    <w:p>
      <w:pPr>
        <w:ind w:firstLine="560" w:firstLineChars="200"/>
        <w:rPr>
          <w:sz w:val="28"/>
          <w:szCs w:val="28"/>
          <w:lang w:eastAsia="zh-Hans"/>
        </w:rPr>
      </w:pPr>
      <w:r>
        <w:rPr>
          <w:rFonts w:hint="eastAsia"/>
          <w:sz w:val="28"/>
          <w:szCs w:val="28"/>
          <w:lang w:eastAsia="zh-Hans"/>
        </w:rPr>
        <w:t>二十</w:t>
      </w:r>
      <w:r>
        <w:rPr>
          <w:sz w:val="28"/>
          <w:szCs w:val="28"/>
          <w:lang w:eastAsia="zh-Hans"/>
        </w:rPr>
        <w:t>大报告指出，</w:t>
      </w:r>
      <w:r>
        <w:rPr>
          <w:rFonts w:hint="eastAsia"/>
          <w:sz w:val="28"/>
          <w:szCs w:val="28"/>
          <w:lang w:eastAsia="zh-Hans"/>
        </w:rPr>
        <w:t>要</w:t>
      </w:r>
      <w:r>
        <w:rPr>
          <w:sz w:val="28"/>
          <w:szCs w:val="28"/>
          <w:lang w:eastAsia="zh-Hans"/>
        </w:rPr>
        <w:t>全面推进乡村振兴，坚持农业农村优先发展，加快推进农业农村现代化，为新时代条件下畜牧业发展勾勒出宏伟蓝图。畜牧业是内蒙古的支柱产业之一，如何实现我区畜牧业创新、协调、绿色、开放与共享发展，是需要重点研究和解决的课题。</w:t>
      </w:r>
    </w:p>
    <w:p>
      <w:pPr>
        <w:spacing w:line="360" w:lineRule="auto"/>
        <w:ind w:firstLine="560" w:firstLineChars="200"/>
        <w:rPr>
          <w:sz w:val="28"/>
          <w:szCs w:val="28"/>
          <w:lang w:eastAsia="zh-Hans"/>
        </w:rPr>
      </w:pPr>
      <w:r>
        <w:rPr>
          <w:rFonts w:hint="eastAsia"/>
          <w:sz w:val="28"/>
          <w:szCs w:val="28"/>
          <w:lang w:eastAsia="zh-Hans"/>
        </w:rPr>
        <w:t>以RFID射频识别、GPS/北斗定位跟踪为代表的物联网技术经过十多年的发展已经成熟，其在畜牧业中的应用也日趋成熟，项目组基于物联网技术，采用集成创新的方法研发了草原畜产品溯源大数据采集装置、设备和系统，包括牛有源电子耳标研发、牛体尺智能测量装置研发、牛体重智能测量装置研发。</w:t>
      </w:r>
    </w:p>
    <w:p>
      <w:pPr>
        <w:spacing w:line="360" w:lineRule="auto"/>
        <w:ind w:firstLine="560" w:firstLineChars="200"/>
        <w:rPr>
          <w:sz w:val="28"/>
          <w:szCs w:val="28"/>
        </w:rPr>
      </w:pPr>
      <w:r>
        <w:rPr>
          <w:sz w:val="28"/>
          <w:szCs w:val="28"/>
          <w:lang w:eastAsia="zh-Hans"/>
        </w:rPr>
        <w:t>在</w:t>
      </w:r>
      <w:r>
        <w:rPr>
          <w:rFonts w:hint="eastAsia"/>
          <w:sz w:val="28"/>
          <w:szCs w:val="28"/>
        </w:rPr>
        <w:t>项目</w:t>
      </w:r>
      <w:r>
        <w:rPr>
          <w:sz w:val="28"/>
          <w:szCs w:val="28"/>
          <w:lang w:eastAsia="zh-Hans"/>
        </w:rPr>
        <w:t>中，将电子耳标作为唯一身份识别标识，实现对牲畜体重、体高、体长和臀宽等生长体征信息的自动采集上传，并可根据体重、耳标号等对牲畜进行自动分栏，为进一步精准饲养、分类管理提供技术支持。利用对牲畜体征数据的检测分析，建立计算模型来分析大量数据，进而提高生产效率以及牲畜福利水平。</w:t>
      </w:r>
    </w:p>
    <w:p>
      <w:pPr>
        <w:ind w:firstLine="560" w:firstLineChars="200"/>
        <w:rPr>
          <w:sz w:val="28"/>
          <w:szCs w:val="28"/>
        </w:rPr>
      </w:pPr>
      <w:r>
        <w:rPr>
          <w:rFonts w:hint="eastAsia"/>
          <w:sz w:val="28"/>
          <w:szCs w:val="28"/>
        </w:rPr>
        <w:t>在项目的研究</w:t>
      </w:r>
      <w:r>
        <w:rPr>
          <w:sz w:val="28"/>
          <w:szCs w:val="28"/>
        </w:rPr>
        <w:t>思路上，按照“</w:t>
      </w:r>
      <w:bookmarkStart w:id="16" w:name="_GoBack"/>
      <w:bookmarkEnd w:id="16"/>
      <w:r>
        <w:rPr>
          <w:sz w:val="28"/>
          <w:szCs w:val="28"/>
        </w:rPr>
        <w:t>研究</w:t>
      </w:r>
      <w:r>
        <w:rPr>
          <w:rFonts w:hint="eastAsia"/>
          <w:sz w:val="28"/>
          <w:szCs w:val="28"/>
        </w:rPr>
        <w:t>思路和总体方案</w:t>
      </w:r>
      <w:r>
        <w:rPr>
          <w:sz w:val="28"/>
          <w:szCs w:val="28"/>
        </w:rPr>
        <w:t>→</w:t>
      </w:r>
      <w:r>
        <w:rPr>
          <w:rFonts w:hint="eastAsia"/>
          <w:sz w:val="28"/>
          <w:szCs w:val="28"/>
        </w:rPr>
        <w:t>牛体尺智能测量、牛体重智能测量装置研发</w:t>
      </w:r>
      <w:r>
        <w:rPr>
          <w:sz w:val="28"/>
          <w:szCs w:val="28"/>
        </w:rPr>
        <w:t>→</w:t>
      </w:r>
      <w:r>
        <w:rPr>
          <w:rFonts w:hint="eastAsia"/>
          <w:sz w:val="28"/>
          <w:szCs w:val="28"/>
        </w:rPr>
        <w:t>硬件和软件设计</w:t>
      </w:r>
      <w:r>
        <w:rPr>
          <w:sz w:val="28"/>
          <w:szCs w:val="28"/>
        </w:rPr>
        <w:t>→</w:t>
      </w:r>
      <w:r>
        <w:rPr>
          <w:rFonts w:hint="eastAsia"/>
          <w:sz w:val="28"/>
          <w:szCs w:val="28"/>
        </w:rPr>
        <w:t>测量装置功能</w:t>
      </w:r>
      <w:r>
        <w:rPr>
          <w:sz w:val="28"/>
          <w:szCs w:val="28"/>
        </w:rPr>
        <w:t>→基于计算机视觉的牲畜身份识别→</w:t>
      </w:r>
      <w:r>
        <w:rPr>
          <w:rFonts w:hint="eastAsia"/>
          <w:sz w:val="28"/>
          <w:szCs w:val="28"/>
        </w:rPr>
        <w:t>研究和应用价值</w:t>
      </w:r>
      <w:r>
        <w:rPr>
          <w:sz w:val="28"/>
          <w:szCs w:val="28"/>
        </w:rPr>
        <w:t>”的路线开展研究，具体包括以下几部分内容</w:t>
      </w:r>
      <w:r>
        <w:rPr>
          <w:rFonts w:hint="eastAsia"/>
          <w:sz w:val="28"/>
          <w:szCs w:val="28"/>
        </w:rPr>
        <w:t>。</w:t>
      </w:r>
    </w:p>
    <w:p>
      <w:pPr>
        <w:ind w:firstLine="562" w:firstLineChars="200"/>
        <w:rPr>
          <w:b/>
          <w:bCs/>
          <w:sz w:val="28"/>
          <w:szCs w:val="28"/>
        </w:rPr>
      </w:pPr>
      <w:bookmarkStart w:id="0" w:name="_Toc1083891109"/>
      <w:r>
        <w:rPr>
          <w:rFonts w:hint="eastAsia" w:ascii="宋体" w:hAnsi="宋体"/>
          <w:b/>
          <w:sz w:val="28"/>
          <w:szCs w:val="28"/>
        </w:rPr>
        <w:t>一、</w:t>
      </w:r>
      <w:r>
        <w:rPr>
          <w:rFonts w:ascii="宋体" w:hAnsi="宋体"/>
          <w:b/>
          <w:sz w:val="28"/>
          <w:szCs w:val="28"/>
        </w:rPr>
        <w:t>研究</w:t>
      </w:r>
      <w:r>
        <w:rPr>
          <w:rFonts w:hint="eastAsia" w:ascii="宋体" w:hAnsi="宋体"/>
          <w:b/>
          <w:sz w:val="28"/>
          <w:szCs w:val="28"/>
        </w:rPr>
        <w:t>思路和总体方案</w:t>
      </w:r>
    </w:p>
    <w:bookmarkEnd w:id="0"/>
    <w:p>
      <w:pPr>
        <w:ind w:firstLine="562" w:firstLineChars="200"/>
        <w:rPr>
          <w:b/>
          <w:bCs/>
          <w:sz w:val="28"/>
          <w:szCs w:val="28"/>
          <w:lang w:eastAsia="zh-Hans"/>
        </w:rPr>
      </w:pPr>
      <w:bookmarkStart w:id="1" w:name="_Toc513593696"/>
      <w:bookmarkStart w:id="2" w:name="_Toc1860317120"/>
      <w:bookmarkStart w:id="3" w:name="_Toc517970369"/>
      <w:r>
        <w:rPr>
          <w:b/>
          <w:bCs/>
          <w:sz w:val="28"/>
          <w:szCs w:val="28"/>
          <w:lang w:eastAsia="zh-Hans"/>
        </w:rPr>
        <w:t>（一）</w:t>
      </w:r>
      <w:bookmarkEnd w:id="1"/>
      <w:r>
        <w:rPr>
          <w:rFonts w:hint="eastAsia"/>
          <w:b/>
          <w:bCs/>
          <w:sz w:val="28"/>
          <w:szCs w:val="28"/>
          <w:lang w:eastAsia="zh-Hans"/>
        </w:rPr>
        <w:t>牛体尺智能测量、牛体重智能测量装置研发</w:t>
      </w:r>
    </w:p>
    <w:p>
      <w:pPr>
        <w:spacing w:line="360" w:lineRule="auto"/>
        <w:ind w:firstLine="560" w:firstLineChars="200"/>
        <w:rPr>
          <w:sz w:val="28"/>
          <w:szCs w:val="28"/>
          <w:lang w:eastAsia="zh-Hans"/>
        </w:rPr>
      </w:pPr>
      <w:bookmarkStart w:id="4" w:name="_Toc307987698"/>
      <w:r>
        <w:rPr>
          <w:sz w:val="28"/>
          <w:szCs w:val="28"/>
          <w:lang w:eastAsia="zh-Hans"/>
        </w:rPr>
        <w:t>研究中，</w:t>
      </w:r>
      <w:r>
        <w:rPr>
          <w:rFonts w:hint="eastAsia"/>
          <w:sz w:val="28"/>
          <w:szCs w:val="28"/>
          <w:lang w:eastAsia="zh-Hans"/>
        </w:rPr>
        <w:t>应用</w:t>
      </w:r>
      <w:r>
        <w:rPr>
          <w:sz w:val="28"/>
          <w:szCs w:val="28"/>
          <w:lang w:eastAsia="zh-Hans"/>
        </w:rPr>
        <w:t>智能数据采集、传输设备，实现牲畜体重、体长、体高等数据的采集上传及自动分栏功能。数据传输总结本项目组在牧区实际智能设备研发使用经验，本次将LoRa或NB-IoT物联网通信技术应用于智能保定架的研发中，替代原有的GPRS通信方式，进一步适应草原牧区的使用环境。</w:t>
      </w:r>
    </w:p>
    <w:p>
      <w:pPr>
        <w:pStyle w:val="37"/>
        <w:widowControl w:val="0"/>
        <w:autoSpaceDE/>
        <w:autoSpaceDN/>
        <w:snapToGrid w:val="0"/>
        <w:spacing w:line="360" w:lineRule="auto"/>
        <w:ind w:left="196" w:firstLine="560"/>
        <w:rPr>
          <w:rFonts w:ascii="Times New Roman"/>
          <w:kern w:val="2"/>
          <w:sz w:val="28"/>
          <w:szCs w:val="28"/>
          <w:lang w:eastAsia="zh-Hans"/>
        </w:rPr>
      </w:pPr>
      <w:r>
        <w:rPr>
          <w:rFonts w:ascii="Times New Roman"/>
          <w:kern w:val="2"/>
          <w:sz w:val="28"/>
          <w:szCs w:val="28"/>
          <w:lang w:eastAsia="zh-Hans"/>
        </w:rPr>
        <w:object>
          <v:shape id="_x0000_i1025" o:spt="75" type="#_x0000_t75" style="height:138.5pt;width:415pt;" o:ole="t" filled="f" o:preferrelative="t" stroked="f" coordsize="21600,21600">
            <v:path/>
            <v:fill on="f" focussize="0,0"/>
            <v:stroke on="f" joinstyle="miter"/>
            <v:imagedata r:id="rId7" o:title=""/>
            <o:lock v:ext="edit" aspectratio="t"/>
            <w10:wrap type="none"/>
            <w10:anchorlock/>
          </v:shape>
          <o:OLEObject Type="Embed" ProgID="Visio.Drawing.11" ShapeID="_x0000_i1025" DrawAspect="Content" ObjectID="_1468075725" r:id="rId6">
            <o:LockedField>false</o:LockedField>
          </o:OLEObject>
        </w:object>
      </w:r>
    </w:p>
    <w:p>
      <w:pPr>
        <w:spacing w:line="360" w:lineRule="auto"/>
        <w:ind w:firstLine="1446" w:firstLineChars="600"/>
        <w:rPr>
          <w:rFonts w:hint="eastAsia"/>
          <w:b/>
          <w:sz w:val="24"/>
        </w:rPr>
      </w:pPr>
      <w:bookmarkStart w:id="5" w:name="_Toc173"/>
      <w:bookmarkStart w:id="6" w:name="_Ref60666051"/>
      <w:r>
        <w:rPr>
          <w:b/>
          <w:sz w:val="24"/>
          <w:lang w:eastAsia="zh-Hans"/>
        </w:rPr>
        <w:t>图 1 牲畜智能保定及生产性能测定设备总体方案</w:t>
      </w:r>
      <w:bookmarkEnd w:id="5"/>
      <w:bookmarkEnd w:id="6"/>
    </w:p>
    <w:p>
      <w:pPr>
        <w:spacing w:line="360" w:lineRule="auto"/>
        <w:ind w:firstLine="560" w:firstLineChars="200"/>
        <w:rPr>
          <w:rFonts w:hint="eastAsia"/>
          <w:sz w:val="28"/>
          <w:szCs w:val="28"/>
        </w:rPr>
      </w:pPr>
      <w:r>
        <w:rPr>
          <w:sz w:val="28"/>
          <w:szCs w:val="28"/>
          <w:lang w:eastAsia="zh-Hans"/>
        </w:rPr>
        <w:t>图1是牲畜智能保定及生产性能测定设备的总体方案</w:t>
      </w:r>
      <w:r>
        <w:rPr>
          <w:rFonts w:hint="eastAsia"/>
          <w:sz w:val="28"/>
          <w:szCs w:val="28"/>
        </w:rPr>
        <w:t>。</w:t>
      </w:r>
      <w:r>
        <w:rPr>
          <w:sz w:val="28"/>
          <w:szCs w:val="28"/>
          <w:lang w:eastAsia="zh-Hans"/>
        </w:rPr>
        <w:t>牲畜智能保定及生产性能测定设备采集数据，再由NB-IoT网络或LORA网络将数据上传至服务器端进行数据处理，用户可在用户端实时查看牲畜位置及牲畜活动信息。</w:t>
      </w:r>
    </w:p>
    <w:p>
      <w:pPr>
        <w:ind w:firstLine="562" w:firstLineChars="200"/>
        <w:rPr>
          <w:b/>
          <w:bCs/>
          <w:sz w:val="28"/>
          <w:szCs w:val="28"/>
          <w:lang w:eastAsia="zh-Hans"/>
        </w:rPr>
      </w:pPr>
      <w:r>
        <w:rPr>
          <w:b/>
          <w:bCs/>
          <w:sz w:val="28"/>
          <w:szCs w:val="28"/>
          <w:lang w:eastAsia="zh-Hans"/>
        </w:rPr>
        <w:t>（</w:t>
      </w:r>
      <w:r>
        <w:rPr>
          <w:rFonts w:hint="eastAsia"/>
          <w:b/>
          <w:bCs/>
          <w:sz w:val="28"/>
          <w:szCs w:val="28"/>
        </w:rPr>
        <w:t>二</w:t>
      </w:r>
      <w:r>
        <w:rPr>
          <w:b/>
          <w:bCs/>
          <w:sz w:val="28"/>
          <w:szCs w:val="28"/>
          <w:lang w:eastAsia="zh-Hans"/>
        </w:rPr>
        <w:t>）基于计算机视觉的牲畜身份识别</w:t>
      </w:r>
    </w:p>
    <w:p>
      <w:pPr>
        <w:spacing w:line="360" w:lineRule="auto"/>
        <w:ind w:firstLine="560" w:firstLineChars="200"/>
        <w:rPr>
          <w:sz w:val="28"/>
          <w:szCs w:val="28"/>
        </w:rPr>
      </w:pPr>
      <w:r>
        <w:rPr>
          <w:sz w:val="28"/>
          <w:szCs w:val="28"/>
          <w:lang w:eastAsia="zh-Hans"/>
        </w:rPr>
        <w:t>为方便保险人员对牛脸识别系统的操作，</w:t>
      </w:r>
      <w:r>
        <w:rPr>
          <w:rFonts w:hint="eastAsia"/>
          <w:sz w:val="28"/>
          <w:szCs w:val="28"/>
        </w:rPr>
        <w:t>项目</w:t>
      </w:r>
      <w:r>
        <w:rPr>
          <w:sz w:val="28"/>
          <w:szCs w:val="28"/>
          <w:lang w:eastAsia="zh-Hans"/>
        </w:rPr>
        <w:t>基于Vue和Flask框架设计了牛脸识别应用系统，系统对外提供Restful类型的接口，方便保险人员的操作。系统通过Vue框架对系统的前端进行设计与实现，用Flask框架对系统的后端进行实现，并且完成与数据库的连接。前端后端通过Axios接口进行数据的通信与更新。用户在使用本系统时，通过访问系统对外提供的接口，根据用户名和密码完成用户登录。本系统将用户分为了普通用户和超级用户，普通用户能完成牛脸信息的录入、验证等功能，超级用户完成对牛的信息进行删除、修改等操作。</w:t>
      </w:r>
    </w:p>
    <w:bookmarkEnd w:id="4"/>
    <w:p>
      <w:pPr>
        <w:ind w:left="562" w:firstLine="141" w:firstLineChars="50"/>
        <w:rPr>
          <w:b/>
          <w:bCs/>
          <w:sz w:val="28"/>
          <w:szCs w:val="28"/>
        </w:rPr>
      </w:pPr>
      <w:r>
        <w:rPr>
          <w:b/>
          <w:bCs/>
          <w:sz w:val="28"/>
          <w:szCs w:val="28"/>
        </w:rPr>
        <w:t>二</w:t>
      </w:r>
      <w:r>
        <w:rPr>
          <w:b/>
          <w:bCs/>
          <w:sz w:val="28"/>
          <w:szCs w:val="28"/>
          <w:lang w:eastAsia="zh-Hans"/>
        </w:rPr>
        <w:t>、</w:t>
      </w:r>
      <w:bookmarkEnd w:id="2"/>
      <w:bookmarkEnd w:id="3"/>
      <w:r>
        <w:rPr>
          <w:rFonts w:hint="eastAsia" w:ascii="宋体" w:hAnsi="宋体"/>
          <w:b/>
          <w:sz w:val="28"/>
          <w:szCs w:val="28"/>
        </w:rPr>
        <w:t>牛体尺智能测量、牛体重智能测量装置研发</w:t>
      </w:r>
    </w:p>
    <w:p>
      <w:pPr>
        <w:ind w:firstLine="562" w:firstLineChars="200"/>
        <w:rPr>
          <w:b/>
          <w:bCs/>
          <w:sz w:val="28"/>
          <w:szCs w:val="28"/>
        </w:rPr>
      </w:pPr>
      <w:bookmarkStart w:id="7" w:name="_Toc1776770492"/>
      <w:r>
        <w:rPr>
          <w:b/>
          <w:bCs/>
          <w:sz w:val="28"/>
          <w:szCs w:val="28"/>
          <w:lang w:eastAsia="zh-Hans"/>
        </w:rPr>
        <w:t>（一）</w:t>
      </w:r>
      <w:bookmarkEnd w:id="7"/>
      <w:r>
        <w:rPr>
          <w:rFonts w:hint="eastAsia"/>
          <w:b/>
          <w:bCs/>
          <w:sz w:val="28"/>
          <w:szCs w:val="28"/>
        </w:rPr>
        <w:t>方案分析设计</w:t>
      </w:r>
    </w:p>
    <w:p>
      <w:pPr>
        <w:spacing w:line="360" w:lineRule="auto"/>
        <w:ind w:firstLine="560" w:firstLineChars="200"/>
        <w:rPr>
          <w:sz w:val="28"/>
          <w:szCs w:val="28"/>
          <w:lang w:eastAsia="zh-Hans"/>
        </w:rPr>
      </w:pPr>
      <w:bookmarkStart w:id="8" w:name="_Toc472619837"/>
      <w:r>
        <w:rPr>
          <w:rFonts w:hint="eastAsia"/>
          <w:sz w:val="28"/>
          <w:szCs w:val="28"/>
          <w:lang w:eastAsia="zh-Hans"/>
        </w:rPr>
        <w:t>生产性能测定系统结构，主要包括手持机、体征测量主机、体尺测量从机、胸围测量从机等构成</w:t>
      </w:r>
      <w:r>
        <w:rPr>
          <w:sz w:val="28"/>
          <w:szCs w:val="28"/>
          <w:lang w:eastAsia="zh-Hans"/>
        </w:rPr>
        <w:t>。</w:t>
      </w:r>
      <w:r>
        <w:rPr>
          <w:rFonts w:hint="eastAsia"/>
          <w:sz w:val="28"/>
          <w:szCs w:val="28"/>
          <w:lang w:eastAsia="zh-Hans"/>
        </w:rPr>
        <w:t>体尺测量从机完成体高、十字部高、体斜长等直线长度参数的测量并通过Zigbee或蓝牙将测量数据传输给体征测量主机，胸围测量从机负责完成胸围、腹围等曲线长度参数的测量并上传，体征测量主机读取电子耳标信息，并通过体重秤采集器采集牲畜重量信息，再将各从机上传来的体尺数据打包，最后通过W</w:t>
      </w:r>
      <w:r>
        <w:rPr>
          <w:sz w:val="28"/>
          <w:szCs w:val="28"/>
          <w:lang w:eastAsia="zh-Hans"/>
        </w:rPr>
        <w:t>IFI</w:t>
      </w:r>
      <w:r>
        <w:rPr>
          <w:rFonts w:hint="eastAsia"/>
          <w:sz w:val="28"/>
          <w:szCs w:val="28"/>
          <w:lang w:eastAsia="zh-Hans"/>
        </w:rPr>
        <w:t>或蓝牙上传到平板电脑或者手持机。</w:t>
      </w:r>
    </w:p>
    <w:p>
      <w:pPr>
        <w:ind w:firstLine="562" w:firstLineChars="200"/>
        <w:rPr>
          <w:b/>
          <w:bCs/>
          <w:sz w:val="28"/>
          <w:szCs w:val="28"/>
          <w:lang w:eastAsia="zh-Hans"/>
        </w:rPr>
      </w:pPr>
      <w:r>
        <w:rPr>
          <w:b/>
          <w:bCs/>
          <w:sz w:val="28"/>
          <w:szCs w:val="28"/>
          <w:lang w:eastAsia="zh-Hans"/>
        </w:rPr>
        <w:t>（二）</w:t>
      </w:r>
      <w:bookmarkEnd w:id="8"/>
      <w:r>
        <w:rPr>
          <w:rFonts w:hint="eastAsia"/>
          <w:b/>
          <w:bCs/>
          <w:sz w:val="28"/>
          <w:szCs w:val="28"/>
          <w:lang w:eastAsia="zh-Hans"/>
        </w:rPr>
        <w:t>研究方法</w:t>
      </w:r>
    </w:p>
    <w:p>
      <w:pPr>
        <w:pStyle w:val="37"/>
        <w:spacing w:line="360" w:lineRule="auto"/>
        <w:ind w:firstLine="618" w:firstLineChars="221"/>
        <w:rPr>
          <w:rFonts w:ascii="Times New Roman"/>
          <w:kern w:val="2"/>
          <w:sz w:val="28"/>
          <w:szCs w:val="28"/>
        </w:rPr>
      </w:pPr>
      <w:bookmarkStart w:id="9" w:name="_Toc1266347696"/>
      <w:r>
        <w:rPr>
          <w:rFonts w:hint="eastAsia" w:ascii="Times New Roman"/>
          <w:kern w:val="2"/>
          <w:sz w:val="28"/>
          <w:szCs w:val="28"/>
        </w:rPr>
        <w:t>1.</w:t>
      </w:r>
      <w:r>
        <w:rPr>
          <w:rFonts w:hint="eastAsia" w:ascii="Times New Roman"/>
          <w:kern w:val="2"/>
          <w:sz w:val="28"/>
          <w:szCs w:val="28"/>
          <w:lang w:eastAsia="zh-Hans"/>
        </w:rPr>
        <w:t>体尺测量：</w:t>
      </w:r>
    </w:p>
    <w:p>
      <w:pPr>
        <w:pStyle w:val="37"/>
        <w:spacing w:line="360" w:lineRule="auto"/>
        <w:ind w:firstLine="618" w:firstLineChars="221"/>
        <w:rPr>
          <w:rFonts w:ascii="Times New Roman"/>
          <w:kern w:val="2"/>
          <w:sz w:val="28"/>
          <w:szCs w:val="28"/>
        </w:rPr>
      </w:pPr>
      <w:r>
        <w:rPr>
          <w:rFonts w:hint="eastAsia" w:ascii="Times New Roman"/>
          <w:kern w:val="2"/>
          <w:sz w:val="28"/>
          <w:szCs w:val="28"/>
        </w:rPr>
        <w:t>测量部位及方法如图2所示。</w:t>
      </w:r>
    </w:p>
    <w:p>
      <w:pPr>
        <w:pStyle w:val="37"/>
        <w:spacing w:line="360" w:lineRule="auto"/>
        <w:ind w:firstLine="560"/>
        <w:rPr>
          <w:rFonts w:ascii="Times New Roman"/>
          <w:kern w:val="2"/>
          <w:sz w:val="28"/>
          <w:szCs w:val="28"/>
          <w:lang w:eastAsia="zh-Hans"/>
        </w:rPr>
      </w:pPr>
      <w:r>
        <w:rPr>
          <w:rFonts w:hint="eastAsia" w:ascii="Times New Roman"/>
          <w:kern w:val="2"/>
          <w:sz w:val="28"/>
          <w:szCs w:val="28"/>
          <w:lang w:eastAsia="zh-Hans"/>
        </w:rPr>
        <w:t>①体高（耆甲高）：自耆甲最高点到地面的垂直距离（1-2）</w:t>
      </w:r>
    </w:p>
    <w:p>
      <w:pPr>
        <w:pStyle w:val="37"/>
        <w:spacing w:line="360" w:lineRule="auto"/>
        <w:ind w:firstLine="560"/>
        <w:rPr>
          <w:rFonts w:ascii="Times New Roman"/>
          <w:kern w:val="2"/>
          <w:sz w:val="28"/>
          <w:szCs w:val="28"/>
          <w:lang w:eastAsia="zh-Hans"/>
        </w:rPr>
      </w:pPr>
      <w:r>
        <w:rPr>
          <w:rFonts w:hint="eastAsia" w:ascii="Times New Roman"/>
          <w:kern w:val="2"/>
          <w:sz w:val="28"/>
          <w:szCs w:val="28"/>
          <w:lang w:eastAsia="zh-Hans"/>
        </w:rPr>
        <w:t>②十字部高：十字部到地面的垂直高度（7-8）</w:t>
      </w:r>
    </w:p>
    <w:p>
      <w:pPr>
        <w:pStyle w:val="37"/>
        <w:spacing w:line="360" w:lineRule="auto"/>
        <w:ind w:firstLine="560"/>
        <w:rPr>
          <w:rFonts w:ascii="Times New Roman"/>
          <w:kern w:val="2"/>
          <w:sz w:val="28"/>
          <w:szCs w:val="28"/>
          <w:lang w:eastAsia="zh-Hans"/>
        </w:rPr>
      </w:pPr>
      <w:r>
        <w:rPr>
          <w:rFonts w:hint="eastAsia" w:ascii="Times New Roman"/>
          <w:kern w:val="2"/>
          <w:sz w:val="28"/>
          <w:szCs w:val="28"/>
          <w:lang w:eastAsia="zh-Hans"/>
        </w:rPr>
        <w:t>③体斜长：从肩端到坐骨端的距离（9-11）</w:t>
      </w:r>
    </w:p>
    <w:p>
      <w:pPr>
        <w:pStyle w:val="37"/>
        <w:spacing w:line="360" w:lineRule="auto"/>
        <w:ind w:firstLine="560"/>
        <w:rPr>
          <w:rFonts w:ascii="Times New Roman"/>
          <w:kern w:val="2"/>
          <w:sz w:val="28"/>
          <w:szCs w:val="28"/>
          <w:lang w:eastAsia="zh-Hans"/>
        </w:rPr>
      </w:pPr>
      <w:r>
        <w:rPr>
          <w:rFonts w:hint="eastAsia" w:ascii="Times New Roman"/>
          <w:kern w:val="2"/>
          <w:sz w:val="28"/>
          <w:szCs w:val="28"/>
          <w:lang w:eastAsia="zh-Hans"/>
        </w:rPr>
        <w:t>④胸  围：肩胛后角处体躯的垂直周径（3-14-4-14-3）</w:t>
      </w:r>
    </w:p>
    <w:p>
      <w:pPr>
        <w:pStyle w:val="37"/>
        <w:spacing w:line="360" w:lineRule="auto"/>
        <w:ind w:firstLine="560"/>
        <w:rPr>
          <w:rFonts w:ascii="Times New Roman"/>
          <w:kern w:val="2"/>
          <w:sz w:val="28"/>
          <w:szCs w:val="28"/>
          <w:lang w:eastAsia="zh-Hans"/>
        </w:rPr>
      </w:pPr>
      <w:r>
        <w:rPr>
          <w:rFonts w:hint="eastAsia" w:ascii="Times New Roman"/>
          <w:kern w:val="2"/>
          <w:sz w:val="28"/>
          <w:szCs w:val="28"/>
          <w:lang w:eastAsia="zh-Hans"/>
        </w:rPr>
        <w:t>⑤腹  围：腹部最大处的垂直周径</w:t>
      </w:r>
    </w:p>
    <w:p>
      <w:pPr>
        <w:pStyle w:val="37"/>
        <w:widowControl w:val="0"/>
        <w:autoSpaceDE/>
        <w:autoSpaceDN/>
        <w:snapToGrid w:val="0"/>
        <w:spacing w:line="360" w:lineRule="auto"/>
        <w:ind w:firstLine="560"/>
        <w:rPr>
          <w:rFonts w:ascii="Times New Roman"/>
          <w:kern w:val="2"/>
          <w:sz w:val="28"/>
          <w:szCs w:val="28"/>
          <w:lang w:eastAsia="zh-Hans"/>
        </w:rPr>
      </w:pPr>
      <w:r>
        <w:rPr>
          <w:rFonts w:hint="eastAsia" w:ascii="Times New Roman"/>
          <w:kern w:val="2"/>
          <w:sz w:val="28"/>
          <w:szCs w:val="28"/>
          <w:lang w:eastAsia="zh-Hans"/>
        </w:rPr>
        <w:t>⑥管  围：左侧前肢胫部上1/3处的周径，一般在前管最细处</w:t>
      </w:r>
    </w:p>
    <w:p>
      <w:pPr>
        <w:spacing w:line="360" w:lineRule="auto"/>
        <w:jc w:val="center"/>
        <w:rPr>
          <w:sz w:val="28"/>
          <w:szCs w:val="28"/>
          <w:lang w:eastAsia="zh-Hans"/>
        </w:rPr>
      </w:pPr>
      <w:r>
        <w:rPr>
          <w:sz w:val="28"/>
          <w:szCs w:val="28"/>
        </w:rPr>
        <w:drawing>
          <wp:inline distT="0" distB="0" distL="0" distR="0">
            <wp:extent cx="4042410" cy="2483485"/>
            <wp:effectExtent l="0" t="0" r="0" b="0"/>
            <wp:docPr id="6" name="图片 6" descr="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拷贝"/>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042410" cy="2483485"/>
                    </a:xfrm>
                    <a:prstGeom prst="rect">
                      <a:avLst/>
                    </a:prstGeom>
                    <a:noFill/>
                    <a:ln>
                      <a:noFill/>
                    </a:ln>
                  </pic:spPr>
                </pic:pic>
              </a:graphicData>
            </a:graphic>
          </wp:inline>
        </w:drawing>
      </w:r>
    </w:p>
    <w:p>
      <w:pPr>
        <w:pStyle w:val="37"/>
        <w:widowControl w:val="0"/>
        <w:autoSpaceDE/>
        <w:autoSpaceDN/>
        <w:snapToGrid w:val="0"/>
        <w:spacing w:line="360" w:lineRule="auto"/>
        <w:ind w:firstLine="0" w:firstLineChars="0"/>
        <w:jc w:val="center"/>
        <w:rPr>
          <w:rFonts w:ascii="Times New Roman"/>
          <w:b/>
          <w:kern w:val="2"/>
          <w:sz w:val="24"/>
          <w:szCs w:val="24"/>
          <w:lang w:eastAsia="zh-Hans"/>
        </w:rPr>
      </w:pPr>
      <w:r>
        <w:rPr>
          <w:rFonts w:hint="eastAsia" w:ascii="Times New Roman"/>
          <w:b/>
          <w:kern w:val="2"/>
          <w:sz w:val="24"/>
          <w:szCs w:val="24"/>
          <w:lang w:eastAsia="zh-Hans"/>
        </w:rPr>
        <w:t>图</w:t>
      </w:r>
      <w:r>
        <w:rPr>
          <w:rFonts w:hint="eastAsia" w:ascii="Times New Roman"/>
          <w:b/>
          <w:kern w:val="2"/>
          <w:sz w:val="24"/>
          <w:szCs w:val="24"/>
        </w:rPr>
        <w:t xml:space="preserve">2 </w:t>
      </w:r>
      <w:r>
        <w:rPr>
          <w:rFonts w:hint="eastAsia" w:ascii="Times New Roman"/>
          <w:b/>
          <w:kern w:val="2"/>
          <w:sz w:val="24"/>
          <w:szCs w:val="24"/>
          <w:lang w:eastAsia="zh-Hans"/>
        </w:rPr>
        <w:t>牛体尺测量说明图</w:t>
      </w:r>
    </w:p>
    <w:p>
      <w:pPr>
        <w:pStyle w:val="37"/>
        <w:spacing w:line="360" w:lineRule="auto"/>
        <w:ind w:firstLine="560"/>
        <w:rPr>
          <w:rFonts w:ascii="Times New Roman"/>
          <w:kern w:val="2"/>
          <w:sz w:val="28"/>
          <w:szCs w:val="28"/>
          <w:lang w:eastAsia="zh-Hans"/>
        </w:rPr>
      </w:pPr>
      <w:r>
        <w:rPr>
          <w:rFonts w:hint="eastAsia" w:ascii="Times New Roman"/>
          <w:kern w:val="2"/>
          <w:sz w:val="28"/>
          <w:szCs w:val="28"/>
        </w:rPr>
        <w:t>2.</w:t>
      </w:r>
      <w:r>
        <w:rPr>
          <w:rFonts w:hint="eastAsia" w:ascii="Times New Roman"/>
          <w:kern w:val="2"/>
          <w:sz w:val="28"/>
          <w:szCs w:val="28"/>
          <w:lang w:eastAsia="zh-Hans"/>
        </w:rPr>
        <w:t>体重测量</w:t>
      </w:r>
    </w:p>
    <w:p>
      <w:pPr>
        <w:pStyle w:val="37"/>
        <w:spacing w:line="360" w:lineRule="auto"/>
        <w:ind w:firstLine="560"/>
        <w:rPr>
          <w:rFonts w:ascii="Times New Roman"/>
          <w:kern w:val="2"/>
          <w:sz w:val="28"/>
          <w:szCs w:val="28"/>
          <w:lang w:eastAsia="zh-Hans"/>
        </w:rPr>
      </w:pPr>
      <w:r>
        <w:rPr>
          <w:rFonts w:hint="eastAsia" w:ascii="Times New Roman"/>
          <w:kern w:val="2"/>
          <w:sz w:val="28"/>
          <w:szCs w:val="28"/>
          <w:lang w:eastAsia="zh-Hans"/>
        </w:rPr>
        <w:t>体重尤其是日增重是测定牛生长发育和肥育效果的重要指标，也是肥育速度的具体体现。断奶重是衡量犊牛生长速度的依据，也是测定母牛泌乳能力和母性的指标。测定体重时，要定期测量各阶段的体重，常测的指标有:初生重、断奶重、12月龄重、18月龄重、24月龄重。称重一般应在早晨饲喂及饮水前进行，连续称2d，取其平均值。</w:t>
      </w:r>
    </w:p>
    <w:p>
      <w:pPr>
        <w:pStyle w:val="37"/>
        <w:spacing w:line="360" w:lineRule="auto"/>
        <w:ind w:firstLine="560"/>
        <w:rPr>
          <w:rFonts w:ascii="Times New Roman"/>
          <w:kern w:val="2"/>
          <w:sz w:val="28"/>
          <w:szCs w:val="28"/>
          <w:lang w:eastAsia="zh-Hans"/>
        </w:rPr>
      </w:pPr>
      <w:r>
        <w:rPr>
          <w:rFonts w:hint="eastAsia" w:ascii="Times New Roman"/>
          <w:kern w:val="2"/>
          <w:sz w:val="28"/>
          <w:szCs w:val="28"/>
        </w:rPr>
        <w:t>3.体重体尺</w:t>
      </w:r>
      <w:r>
        <w:rPr>
          <w:rFonts w:hint="eastAsia" w:ascii="Times New Roman"/>
          <w:kern w:val="2"/>
          <w:sz w:val="28"/>
          <w:szCs w:val="28"/>
          <w:lang w:eastAsia="zh-Hans"/>
        </w:rPr>
        <w:t>测量</w:t>
      </w:r>
      <w:r>
        <w:rPr>
          <w:rFonts w:hint="eastAsia" w:ascii="Times New Roman"/>
          <w:kern w:val="2"/>
          <w:sz w:val="28"/>
          <w:szCs w:val="28"/>
        </w:rPr>
        <w:t>原理</w:t>
      </w:r>
      <w:r>
        <w:rPr>
          <w:rFonts w:hint="eastAsia" w:ascii="Times New Roman"/>
          <w:kern w:val="2"/>
          <w:sz w:val="28"/>
          <w:szCs w:val="28"/>
          <w:lang w:eastAsia="zh-Hans"/>
        </w:rPr>
        <w:t>方法</w:t>
      </w:r>
    </w:p>
    <w:p>
      <w:pPr>
        <w:pStyle w:val="37"/>
        <w:spacing w:line="360" w:lineRule="auto"/>
        <w:ind w:firstLine="560"/>
        <w:rPr>
          <w:rFonts w:ascii="Times New Roman"/>
          <w:kern w:val="2"/>
          <w:sz w:val="28"/>
          <w:szCs w:val="28"/>
        </w:rPr>
      </w:pPr>
      <w:r>
        <w:rPr>
          <w:rFonts w:hint="eastAsia" w:ascii="Times New Roman"/>
          <w:kern w:val="2"/>
          <w:sz w:val="28"/>
          <w:szCs w:val="28"/>
          <w:lang w:eastAsia="zh-Hans"/>
        </w:rPr>
        <w:t>体重测量方法：牲畜体重秤设计有两个门，开始称重时入口门打开出口门关闭，此时将牲畜赶入体重秤并关入口门。牲畜在进入体重秤的同时体征测量主机完成牲畜耳标的读取，当入口门关闭后，体征测量主机进行牲畜称重获取重量数据。当重量数据稳定后进行显示、上传并亮灯指示，然后自动打开出口门，完成一次完整测量过程</w:t>
      </w:r>
      <w:r>
        <w:rPr>
          <w:rFonts w:hint="eastAsia" w:ascii="Times New Roman"/>
          <w:kern w:val="2"/>
          <w:sz w:val="28"/>
          <w:szCs w:val="28"/>
        </w:rPr>
        <w:t>。</w:t>
      </w:r>
    </w:p>
    <w:p>
      <w:pPr>
        <w:pStyle w:val="37"/>
        <w:widowControl w:val="0"/>
        <w:autoSpaceDE/>
        <w:autoSpaceDN/>
        <w:snapToGrid w:val="0"/>
        <w:spacing w:line="360" w:lineRule="auto"/>
        <w:ind w:firstLine="560"/>
        <w:rPr>
          <w:rFonts w:ascii="Times New Roman"/>
          <w:kern w:val="2"/>
          <w:sz w:val="28"/>
          <w:szCs w:val="28"/>
          <w:lang w:eastAsia="zh-Hans"/>
        </w:rPr>
      </w:pPr>
      <w:r>
        <w:rPr>
          <w:rFonts w:hint="eastAsia" w:ascii="Times New Roman"/>
          <w:kern w:val="2"/>
          <w:sz w:val="28"/>
          <w:szCs w:val="28"/>
          <w:lang w:eastAsia="zh-Hans"/>
        </w:rPr>
        <w:t>体尺测量过程：以体高（耆甲高）测量为例，将测杆激光测试仪旋转垂直地面，移动到生畜耆甲最高点位置，使测杆与地面垂直，此时在地面出现激光红斑，测距仪CCD相机获取这个红斑并计算出距离。</w:t>
      </w:r>
    </w:p>
    <w:p>
      <w:pPr>
        <w:pStyle w:val="37"/>
        <w:widowControl w:val="0"/>
        <w:autoSpaceDE/>
        <w:autoSpaceDN/>
        <w:snapToGrid w:val="0"/>
        <w:spacing w:line="360" w:lineRule="auto"/>
        <w:ind w:firstLine="560"/>
        <w:rPr>
          <w:rFonts w:ascii="Times New Roman"/>
          <w:kern w:val="2"/>
          <w:sz w:val="28"/>
          <w:szCs w:val="28"/>
        </w:rPr>
      </w:pPr>
      <w:r>
        <w:rPr>
          <w:rFonts w:hint="eastAsia" w:ascii="Times New Roman"/>
          <w:kern w:val="2"/>
          <w:sz w:val="28"/>
          <w:szCs w:val="28"/>
          <w:lang w:eastAsia="zh-Hans"/>
        </w:rPr>
        <w:t>胸围测量从机工作原理：胸围等曲线长度的测量采用滚动尺测量原理，测量时滚动轮沿被测曲线滚动，测量电路部分记录滚轮滚动的圈数，然后将滚动圈数和滚轮周长相乘即可得到被测长度。胸围测量过程如图</w:t>
      </w:r>
      <w:r>
        <w:rPr>
          <w:rFonts w:hint="eastAsia" w:ascii="Times New Roman"/>
          <w:kern w:val="2"/>
          <w:sz w:val="28"/>
          <w:szCs w:val="28"/>
        </w:rPr>
        <w:t>3</w:t>
      </w:r>
      <w:r>
        <w:rPr>
          <w:rFonts w:hint="eastAsia" w:ascii="Times New Roman"/>
          <w:kern w:val="2"/>
          <w:sz w:val="28"/>
          <w:szCs w:val="28"/>
          <w:lang w:eastAsia="zh-Hans"/>
        </w:rPr>
        <w:t>所示，牛胸围是指肩胛后角处体躯的垂直周径（3-14-4-14-3），测量时将测尺滚轮前端至生畜待测胸围底部（半径起始点）位置，即4点位置，按“清零”键记录测量起始点，然后沿着胸围路径滚动滚轮到达胸围高端（半径终点）即</w:t>
      </w:r>
      <w:r>
        <w:rPr>
          <w:rFonts w:ascii="Times New Roman"/>
          <w:kern w:val="2"/>
          <w:sz w:val="28"/>
          <w:szCs w:val="28"/>
          <w:lang w:eastAsia="zh-Hans"/>
        </w:rPr>
        <w:t>3</w:t>
      </w:r>
      <w:r>
        <w:rPr>
          <w:rFonts w:hint="eastAsia" w:ascii="Times New Roman"/>
          <w:kern w:val="2"/>
          <w:sz w:val="28"/>
          <w:szCs w:val="28"/>
          <w:lang w:eastAsia="zh-Hans"/>
        </w:rPr>
        <w:t>点位置，按 “确认”键，此时得到胸围一半的长度，测量仪内部对该数据乘2即可得到胸围数据。</w:t>
      </w:r>
    </w:p>
    <w:p>
      <w:pPr>
        <w:pStyle w:val="37"/>
        <w:widowControl w:val="0"/>
        <w:autoSpaceDE/>
        <w:autoSpaceDN/>
        <w:snapToGrid w:val="0"/>
        <w:spacing w:line="360" w:lineRule="auto"/>
        <w:ind w:firstLine="560"/>
        <w:rPr>
          <w:rFonts w:ascii="Times New Roman"/>
          <w:kern w:val="2"/>
          <w:sz w:val="28"/>
          <w:szCs w:val="28"/>
        </w:rPr>
      </w:pPr>
      <w:r>
        <w:rPr>
          <w:rFonts w:hint="eastAsia"/>
          <w:sz w:val="28"/>
          <w:szCs w:val="28"/>
          <w:lang w:eastAsia="zh-Hans"/>
        </w:rPr>
        <w:t>电子体尺测量系统含有电子直尺（激光尺）和电子卷尺组成，</w:t>
      </w:r>
      <w:r>
        <w:rPr>
          <w:rFonts w:hint="eastAsia"/>
          <w:sz w:val="28"/>
          <w:szCs w:val="28"/>
        </w:rPr>
        <w:t>如</w:t>
      </w:r>
      <w:r>
        <w:rPr>
          <w:rFonts w:hint="eastAsia"/>
          <w:sz w:val="28"/>
          <w:szCs w:val="28"/>
          <w:lang w:eastAsia="zh-Hans"/>
        </w:rPr>
        <w:t>图</w:t>
      </w:r>
      <w:r>
        <w:rPr>
          <w:rFonts w:hint="eastAsia"/>
          <w:sz w:val="28"/>
          <w:szCs w:val="28"/>
        </w:rPr>
        <w:t>3</w:t>
      </w:r>
      <w:r>
        <w:rPr>
          <w:rFonts w:hint="eastAsia"/>
          <w:sz w:val="28"/>
          <w:szCs w:val="28"/>
          <w:lang w:eastAsia="zh-Hans"/>
        </w:rPr>
        <w:t>和图</w:t>
      </w:r>
      <w:r>
        <w:rPr>
          <w:rFonts w:hint="eastAsia"/>
          <w:sz w:val="28"/>
          <w:szCs w:val="28"/>
        </w:rPr>
        <w:t>4</w:t>
      </w:r>
      <w:r>
        <w:rPr>
          <w:rFonts w:hint="eastAsia"/>
          <w:sz w:val="28"/>
          <w:szCs w:val="28"/>
          <w:lang w:eastAsia="zh-Hans"/>
        </w:rPr>
        <w:t>。通过电子直尺实现种畜体高、体斜长、十字部高等相关测定、记录，并自动上传到后台数据库。通过电子卷尺（滚轮尺）实现种畜胸围、腹围等相关圆周部位测定、数据记录自动上传到后台数据库。</w:t>
      </w:r>
    </w:p>
    <w:p>
      <w:pPr>
        <w:tabs>
          <w:tab w:val="left" w:pos="1215"/>
        </w:tabs>
        <w:spacing w:line="360" w:lineRule="auto"/>
        <w:ind w:firstLine="560" w:firstLineChars="200"/>
        <w:jc w:val="left"/>
        <w:rPr>
          <w:sz w:val="28"/>
          <w:szCs w:val="28"/>
        </w:rPr>
      </w:pPr>
      <w:r>
        <w:rPr>
          <w:sz w:val="28"/>
          <w:szCs w:val="28"/>
        </w:rPr>
        <w:drawing>
          <wp:inline distT="0" distB="0" distL="0" distR="0">
            <wp:extent cx="2449195" cy="1021715"/>
            <wp:effectExtent l="0" t="0" r="8255" b="6985"/>
            <wp:docPr id="10" name="图片 10" descr="http://www.100fangxin.com/sycx/images/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http://www.100fangxin.com/sycx/images/52-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450650" cy="1022328"/>
                    </a:xfrm>
                    <a:prstGeom prst="rect">
                      <a:avLst/>
                    </a:prstGeom>
                    <a:noFill/>
                    <a:ln>
                      <a:noFill/>
                    </a:ln>
                  </pic:spPr>
                </pic:pic>
              </a:graphicData>
            </a:graphic>
          </wp:inline>
        </w:drawing>
      </w:r>
      <w:r>
        <w:rPr>
          <w:rFonts w:hint="eastAsia"/>
          <w:sz w:val="28"/>
          <w:szCs w:val="28"/>
        </w:rPr>
        <w:t xml:space="preserve">     </w:t>
      </w:r>
      <w:r>
        <w:rPr>
          <w:sz w:val="28"/>
          <w:szCs w:val="28"/>
        </w:rPr>
        <w:drawing>
          <wp:inline distT="0" distB="0" distL="0" distR="0">
            <wp:extent cx="2346960" cy="835025"/>
            <wp:effectExtent l="0" t="0" r="0" b="3175"/>
            <wp:docPr id="9" name="图片 9" descr="http://www.100fangxin.com/sycx/images/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http://www.100fangxin.com/sycx/images/5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350277" cy="836501"/>
                    </a:xfrm>
                    <a:prstGeom prst="rect">
                      <a:avLst/>
                    </a:prstGeom>
                    <a:noFill/>
                    <a:ln>
                      <a:noFill/>
                    </a:ln>
                  </pic:spPr>
                </pic:pic>
              </a:graphicData>
            </a:graphic>
          </wp:inline>
        </w:drawing>
      </w:r>
    </w:p>
    <w:p>
      <w:pPr>
        <w:tabs>
          <w:tab w:val="left" w:pos="1215"/>
        </w:tabs>
        <w:spacing w:line="360" w:lineRule="auto"/>
        <w:ind w:firstLine="1084" w:firstLineChars="450"/>
        <w:rPr>
          <w:b/>
          <w:sz w:val="24"/>
        </w:rPr>
      </w:pPr>
      <w:r>
        <w:rPr>
          <w:rFonts w:hint="eastAsia"/>
          <w:b/>
          <w:sz w:val="24"/>
          <w:lang w:eastAsia="zh-Hans"/>
        </w:rPr>
        <w:t>图</w:t>
      </w:r>
      <w:r>
        <w:rPr>
          <w:rFonts w:hint="eastAsia"/>
          <w:b/>
          <w:sz w:val="24"/>
        </w:rPr>
        <w:t xml:space="preserve">3 </w:t>
      </w:r>
      <w:r>
        <w:rPr>
          <w:rFonts w:hint="eastAsia"/>
          <w:b/>
          <w:sz w:val="24"/>
          <w:lang w:eastAsia="zh-Hans"/>
        </w:rPr>
        <w:t>电子直尺（激光尺）</w:t>
      </w:r>
      <w:r>
        <w:rPr>
          <w:rFonts w:hint="eastAsia"/>
          <w:b/>
          <w:sz w:val="24"/>
        </w:rPr>
        <w:t xml:space="preserve">              </w:t>
      </w:r>
      <w:r>
        <w:rPr>
          <w:rFonts w:hint="eastAsia"/>
          <w:b/>
          <w:sz w:val="24"/>
          <w:lang w:eastAsia="zh-Hans"/>
        </w:rPr>
        <w:t>图</w:t>
      </w:r>
      <w:r>
        <w:rPr>
          <w:rFonts w:hint="eastAsia"/>
          <w:b/>
          <w:sz w:val="24"/>
        </w:rPr>
        <w:t xml:space="preserve">4 </w:t>
      </w:r>
      <w:r>
        <w:rPr>
          <w:rFonts w:hint="eastAsia"/>
          <w:b/>
          <w:sz w:val="24"/>
          <w:lang w:eastAsia="zh-Hans"/>
        </w:rPr>
        <w:t>电子直尺卷尺（滚轮尺）</w:t>
      </w:r>
    </w:p>
    <w:bookmarkEnd w:id="9"/>
    <w:p>
      <w:pPr>
        <w:ind w:firstLine="562" w:firstLineChars="200"/>
        <w:rPr>
          <w:b/>
          <w:bCs/>
          <w:sz w:val="28"/>
          <w:szCs w:val="28"/>
          <w:lang w:eastAsia="zh-Hans"/>
        </w:rPr>
      </w:pPr>
      <w:bookmarkStart w:id="10" w:name="_Toc1135419167"/>
      <w:bookmarkStart w:id="11" w:name="_Toc1942784902"/>
      <w:r>
        <w:rPr>
          <w:b/>
          <w:bCs/>
          <w:sz w:val="28"/>
          <w:szCs w:val="28"/>
        </w:rPr>
        <w:t>三</w:t>
      </w:r>
      <w:r>
        <w:rPr>
          <w:b/>
          <w:bCs/>
          <w:sz w:val="28"/>
          <w:szCs w:val="28"/>
          <w:lang w:eastAsia="zh-Hans"/>
        </w:rPr>
        <w:t>、</w:t>
      </w:r>
      <w:bookmarkEnd w:id="10"/>
      <w:bookmarkEnd w:id="11"/>
      <w:r>
        <w:rPr>
          <w:rFonts w:hint="eastAsia"/>
          <w:b/>
          <w:bCs/>
          <w:sz w:val="28"/>
          <w:szCs w:val="28"/>
        </w:rPr>
        <w:t>硬件和软件设计</w:t>
      </w:r>
    </w:p>
    <w:p>
      <w:pPr>
        <w:spacing w:line="360" w:lineRule="auto"/>
        <w:ind w:firstLine="560" w:firstLineChars="200"/>
        <w:rPr>
          <w:sz w:val="28"/>
          <w:szCs w:val="28"/>
        </w:rPr>
      </w:pPr>
      <w:r>
        <w:rPr>
          <w:sz w:val="28"/>
          <w:szCs w:val="28"/>
          <w:lang w:eastAsia="zh-Hans"/>
        </w:rPr>
        <w:t>牲畜智能保定及生产性能测定设备硬件采用STM32F4系列单片机为控制器，体重采集可根据牛、羊等使用场合不同，选择不同量程的重量传感器实现。体长、体高等直线长度采用激光式测距传感器实现，而胸围、腹围等曲线长度</w:t>
      </w:r>
      <w:r>
        <w:rPr>
          <w:rFonts w:hint="eastAsia"/>
          <w:sz w:val="28"/>
          <w:szCs w:val="28"/>
          <w:lang w:eastAsia="zh-Hans"/>
        </w:rPr>
        <w:t>参数</w:t>
      </w:r>
      <w:r>
        <w:rPr>
          <w:sz w:val="28"/>
          <w:szCs w:val="28"/>
          <w:lang w:eastAsia="zh-Hans"/>
        </w:rPr>
        <w:t>采用电子卷尺测量，电子耳标采用无线读写器进行读取；采集到的数据经STM32F4处理器分析处理后，根据使用环境的不同，可选择不同的数据通讯方式进行上传。同时，设备配置了本地触摸显示屏，方便就地操作设备和信息显示。</w:t>
      </w:r>
    </w:p>
    <w:p>
      <w:pPr>
        <w:spacing w:line="360" w:lineRule="auto"/>
        <w:ind w:firstLine="560" w:firstLineChars="200"/>
        <w:rPr>
          <w:b/>
          <w:sz w:val="24"/>
          <w:lang w:eastAsia="zh-Hans"/>
        </w:rPr>
      </w:pPr>
      <w:r>
        <w:rPr>
          <w:sz w:val="28"/>
          <w:szCs w:val="28"/>
          <w:lang w:eastAsia="zh-Hans"/>
        </w:rPr>
        <w:t>设备软件开发采用keil开发环境，C语言程序设计语言对主控制器STM32进行编程，完成牲畜状态数据的读取及数据上传。系统读取到有效的电子耳标数据后，进行重量（体长、胸围等）数据的读取并处理显示，如需上传数据，则根据不同的通信模块分别进行数据上传。这样完成一次完整的数据采集过程</w:t>
      </w:r>
      <w:r>
        <w:rPr>
          <w:rFonts w:hint="eastAsia"/>
          <w:sz w:val="28"/>
          <w:szCs w:val="28"/>
        </w:rPr>
        <w:t>。并且</w:t>
      </w:r>
      <w:r>
        <w:rPr>
          <w:sz w:val="28"/>
          <w:szCs w:val="28"/>
          <w:lang w:eastAsia="zh-Hans"/>
        </w:rPr>
        <w:t>各测量模块相互独立功能可根据实际使用情况进行选择。</w:t>
      </w:r>
    </w:p>
    <w:p>
      <w:pPr>
        <w:ind w:firstLine="562" w:firstLineChars="200"/>
      </w:pPr>
      <w:bookmarkStart w:id="12" w:name="_Toc520195299"/>
      <w:bookmarkStart w:id="13" w:name="_Toc450252527"/>
      <w:r>
        <w:rPr>
          <w:rFonts w:hint="eastAsia"/>
          <w:b/>
          <w:bCs/>
          <w:sz w:val="28"/>
          <w:szCs w:val="28"/>
        </w:rPr>
        <w:t>四</w:t>
      </w:r>
      <w:r>
        <w:rPr>
          <w:b/>
          <w:bCs/>
          <w:sz w:val="28"/>
          <w:szCs w:val="28"/>
          <w:lang w:eastAsia="zh-Hans"/>
        </w:rPr>
        <w:t>、</w:t>
      </w:r>
      <w:r>
        <w:rPr>
          <w:rFonts w:hint="eastAsia" w:ascii="宋体" w:hAnsi="宋体"/>
          <w:b/>
          <w:sz w:val="28"/>
          <w:szCs w:val="28"/>
        </w:rPr>
        <w:t>测量装置功能</w:t>
      </w:r>
      <w:bookmarkEnd w:id="12"/>
      <w:bookmarkEnd w:id="13"/>
    </w:p>
    <w:p>
      <w:pPr>
        <w:spacing w:line="360" w:lineRule="auto"/>
        <w:ind w:firstLine="560" w:firstLineChars="200"/>
        <w:rPr>
          <w:sz w:val="28"/>
          <w:szCs w:val="28"/>
        </w:rPr>
      </w:pPr>
      <w:r>
        <w:rPr>
          <w:rFonts w:hint="eastAsia"/>
          <w:sz w:val="28"/>
          <w:szCs w:val="28"/>
          <w:lang w:eastAsia="zh-Hans"/>
        </w:rPr>
        <w:t>网络化组合参数测量由手持机、体重测量主机、体尺测量从机和胸线测量从机通过ZigBee网络组成，从机测量数据通过主机经蓝牙/WiFi传输给手持机</w:t>
      </w:r>
      <w:r>
        <w:rPr>
          <w:rFonts w:hint="eastAsia"/>
          <w:sz w:val="28"/>
          <w:szCs w:val="28"/>
        </w:rPr>
        <w:t>。</w:t>
      </w:r>
    </w:p>
    <w:p>
      <w:pPr>
        <w:spacing w:line="360" w:lineRule="auto"/>
        <w:ind w:firstLine="560" w:firstLineChars="200"/>
        <w:rPr>
          <w:sz w:val="28"/>
          <w:szCs w:val="28"/>
        </w:rPr>
      </w:pPr>
      <w:r>
        <w:rPr>
          <w:rFonts w:hint="eastAsia"/>
          <w:sz w:val="28"/>
          <w:szCs w:val="28"/>
          <w:lang w:eastAsia="zh-Hans"/>
        </w:rPr>
        <w:t>单机参数组测量由手持机、体重测量主机之间；手持机、体尺测量从机之间；手持机、胸线测量从机之间通过各自的蓝牙实现数据的传输。</w:t>
      </w:r>
    </w:p>
    <w:p>
      <w:pPr>
        <w:spacing w:line="360" w:lineRule="auto"/>
        <w:ind w:firstLine="560" w:firstLineChars="200"/>
        <w:jc w:val="left"/>
        <w:rPr>
          <w:sz w:val="28"/>
          <w:szCs w:val="28"/>
        </w:rPr>
      </w:pPr>
      <w:r>
        <w:rPr>
          <w:rFonts w:hint="eastAsia"/>
          <w:sz w:val="28"/>
          <w:szCs w:val="28"/>
          <w:lang w:eastAsia="zh-Hans"/>
        </w:rPr>
        <w:t>体尺测量从机如图</w:t>
      </w:r>
      <w:r>
        <w:rPr>
          <w:rFonts w:hint="eastAsia"/>
          <w:sz w:val="28"/>
          <w:szCs w:val="28"/>
        </w:rPr>
        <w:t>5</w:t>
      </w:r>
      <w:r>
        <w:rPr>
          <w:rFonts w:hint="eastAsia"/>
          <w:sz w:val="28"/>
          <w:szCs w:val="28"/>
          <w:lang w:eastAsia="zh-Hans"/>
        </w:rPr>
        <w:t>所示</w:t>
      </w:r>
      <w:r>
        <w:rPr>
          <w:rFonts w:hint="eastAsia"/>
          <w:sz w:val="28"/>
          <w:szCs w:val="28"/>
        </w:rPr>
        <w:t>，</w:t>
      </w:r>
      <w:r>
        <w:rPr>
          <w:rFonts w:hint="eastAsia"/>
          <w:sz w:val="28"/>
          <w:szCs w:val="28"/>
          <w:lang w:eastAsia="zh-Hans"/>
        </w:rPr>
        <w:t>胸线测量从机如图</w:t>
      </w:r>
      <w:r>
        <w:rPr>
          <w:rFonts w:hint="eastAsia"/>
          <w:sz w:val="28"/>
          <w:szCs w:val="28"/>
        </w:rPr>
        <w:t>6</w:t>
      </w:r>
      <w:r>
        <w:rPr>
          <w:rFonts w:hint="eastAsia"/>
          <w:sz w:val="28"/>
          <w:szCs w:val="28"/>
          <w:lang w:eastAsia="zh-Hans"/>
        </w:rPr>
        <w:t>所示</w:t>
      </w:r>
      <w:r>
        <w:rPr>
          <w:rFonts w:hint="eastAsia"/>
          <w:sz w:val="28"/>
          <w:szCs w:val="28"/>
        </w:rPr>
        <w:t>。</w:t>
      </w:r>
    </w:p>
    <w:p>
      <w:pPr>
        <w:pStyle w:val="7"/>
        <w:spacing w:after="0" w:line="360" w:lineRule="auto"/>
        <w:ind w:firstLine="482" w:firstLineChars="200"/>
        <w:jc w:val="both"/>
        <w:rPr>
          <w:rFonts w:ascii="Times New Roman" w:hAnsi="Times New Roman" w:cs="Times New Roman"/>
          <w:sz w:val="28"/>
          <w:szCs w:val="28"/>
        </w:rPr>
      </w:pPr>
      <w:r>
        <w:rPr>
          <w:rFonts w:ascii="Times New Roman" w:hAnsi="Times New Roman" w:cs="Times New Roman"/>
          <w:b/>
          <w:sz w:val="24"/>
          <w:szCs w:val="24"/>
        </w:rPr>
        <w:drawing>
          <wp:inline distT="0" distB="0" distL="0" distR="0">
            <wp:extent cx="2922905" cy="1460500"/>
            <wp:effectExtent l="0" t="0" r="0" b="6350"/>
            <wp:docPr id="30" name="图片 30" descr="C:\Users\Administrator\Documents\WeChat Files\wxid_mu1hiwdk11kt11\FileStorage\Temp\16783248019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C:\Users\Administrator\Documents\WeChat Files\wxid_mu1hiwdk11kt11\FileStorage\Temp\167832480195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931673" cy="1464745"/>
                    </a:xfrm>
                    <a:prstGeom prst="rect">
                      <a:avLst/>
                    </a:prstGeom>
                    <a:noFill/>
                    <a:ln>
                      <a:noFill/>
                    </a:ln>
                  </pic:spPr>
                </pic:pic>
              </a:graphicData>
            </a:graphic>
          </wp:inline>
        </w:drawing>
      </w:r>
      <w:r>
        <w:rPr>
          <w:rFonts w:ascii="Times New Roman" w:hAnsi="Times New Roman" w:cs="Times New Roman"/>
          <w:sz w:val="28"/>
          <w:szCs w:val="28"/>
        </w:rPr>
        <w:drawing>
          <wp:inline distT="0" distB="0" distL="0" distR="0">
            <wp:extent cx="2473960" cy="1543050"/>
            <wp:effectExtent l="0" t="0" r="2540" b="0"/>
            <wp:docPr id="2" name="图片 2" descr="C:\Users\Administrator\Documents\WeChat Files\wxid_mu1hiwdk11kt11\FileStorage\Temp\1678324859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mu1hiwdk11kt11\FileStorage\Temp\167832485976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477499" cy="1544877"/>
                    </a:xfrm>
                    <a:prstGeom prst="rect">
                      <a:avLst/>
                    </a:prstGeom>
                    <a:noFill/>
                    <a:ln>
                      <a:noFill/>
                    </a:ln>
                  </pic:spPr>
                </pic:pic>
              </a:graphicData>
            </a:graphic>
          </wp:inline>
        </w:drawing>
      </w:r>
    </w:p>
    <w:p>
      <w:pPr>
        <w:pStyle w:val="7"/>
        <w:spacing w:line="360" w:lineRule="auto"/>
        <w:ind w:firstLine="1807" w:firstLineChars="750"/>
        <w:jc w:val="both"/>
        <w:rPr>
          <w:rFonts w:hint="eastAsia" w:ascii="Times New Roman" w:hAnsi="Times New Roman" w:cs="Times New Roman"/>
          <w:b/>
          <w:sz w:val="24"/>
          <w:szCs w:val="24"/>
        </w:rPr>
      </w:pPr>
      <w:r>
        <w:rPr>
          <w:rFonts w:hint="eastAsia" w:ascii="Times New Roman" w:hAnsi="Times New Roman" w:cs="Times New Roman"/>
          <w:b/>
          <w:sz w:val="24"/>
          <w:szCs w:val="24"/>
          <w:lang w:eastAsia="zh-Hans"/>
        </w:rPr>
        <w:t>图</w:t>
      </w:r>
      <w:r>
        <w:rPr>
          <w:rFonts w:hint="eastAsia" w:ascii="Times New Roman" w:hAnsi="Times New Roman" w:cs="Times New Roman"/>
          <w:b/>
          <w:sz w:val="24"/>
          <w:szCs w:val="24"/>
        </w:rPr>
        <w:t>5</w:t>
      </w:r>
      <w:r>
        <w:rPr>
          <w:rFonts w:hint="eastAsia" w:ascii="Times New Roman" w:hAnsi="Times New Roman" w:cs="Times New Roman"/>
          <w:b/>
          <w:sz w:val="24"/>
          <w:szCs w:val="24"/>
          <w:lang w:eastAsia="zh-Hans"/>
        </w:rPr>
        <w:t xml:space="preserve"> 体尺测量仪</w:t>
      </w:r>
      <w:r>
        <w:rPr>
          <w:rFonts w:hint="eastAsia" w:ascii="Times New Roman" w:hAnsi="Times New Roman" w:cs="Times New Roman"/>
          <w:b/>
          <w:sz w:val="24"/>
          <w:szCs w:val="24"/>
        </w:rPr>
        <w:t xml:space="preserve">                    </w:t>
      </w:r>
      <w:r>
        <w:rPr>
          <w:rFonts w:hint="eastAsia" w:ascii="Times New Roman" w:hAnsi="Times New Roman" w:cs="Times New Roman"/>
          <w:b/>
          <w:sz w:val="24"/>
          <w:szCs w:val="24"/>
          <w:lang w:eastAsia="zh-Hans"/>
        </w:rPr>
        <w:t>图</w:t>
      </w:r>
      <w:r>
        <w:rPr>
          <w:rFonts w:hint="eastAsia" w:ascii="Times New Roman" w:hAnsi="Times New Roman" w:cs="Times New Roman"/>
          <w:b/>
          <w:sz w:val="24"/>
          <w:szCs w:val="24"/>
        </w:rPr>
        <w:t>6</w:t>
      </w:r>
      <w:r>
        <w:rPr>
          <w:rFonts w:hint="eastAsia" w:ascii="Times New Roman" w:hAnsi="Times New Roman" w:cs="Times New Roman"/>
          <w:b/>
          <w:sz w:val="24"/>
          <w:szCs w:val="24"/>
          <w:lang w:eastAsia="zh-Hans"/>
        </w:rPr>
        <w:t>胸线测量从机</w:t>
      </w:r>
    </w:p>
    <w:p>
      <w:pPr>
        <w:ind w:firstLine="562" w:firstLineChars="200"/>
      </w:pPr>
      <w:r>
        <w:rPr>
          <w:rFonts w:hint="eastAsia"/>
          <w:b/>
          <w:bCs/>
          <w:sz w:val="28"/>
          <w:szCs w:val="28"/>
        </w:rPr>
        <w:t>五</w:t>
      </w:r>
      <w:r>
        <w:rPr>
          <w:b/>
          <w:bCs/>
          <w:sz w:val="28"/>
          <w:szCs w:val="28"/>
          <w:lang w:eastAsia="zh-Hans"/>
        </w:rPr>
        <w:t>、</w:t>
      </w:r>
      <w:r>
        <w:rPr>
          <w:rFonts w:hint="eastAsia" w:ascii="宋体" w:hAnsi="宋体"/>
          <w:b/>
          <w:sz w:val="28"/>
          <w:szCs w:val="28"/>
        </w:rPr>
        <w:t>基于计算机视觉的牲畜身份识别</w:t>
      </w:r>
    </w:p>
    <w:p>
      <w:pPr>
        <w:ind w:firstLine="562" w:firstLineChars="200"/>
        <w:rPr>
          <w:b/>
          <w:bCs/>
          <w:sz w:val="28"/>
          <w:szCs w:val="28"/>
        </w:rPr>
      </w:pPr>
      <w:r>
        <w:rPr>
          <w:b/>
          <w:bCs/>
          <w:sz w:val="28"/>
          <w:szCs w:val="28"/>
          <w:lang w:eastAsia="zh-Hans"/>
        </w:rPr>
        <w:t>（一）</w:t>
      </w:r>
      <w:r>
        <w:rPr>
          <w:rFonts w:hint="eastAsia"/>
          <w:b/>
          <w:bCs/>
          <w:sz w:val="28"/>
          <w:szCs w:val="28"/>
        </w:rPr>
        <w:t>研究方案和方法</w:t>
      </w:r>
    </w:p>
    <w:p>
      <w:pPr>
        <w:spacing w:line="360" w:lineRule="auto"/>
        <w:ind w:firstLine="560" w:firstLineChars="200"/>
        <w:rPr>
          <w:sz w:val="28"/>
          <w:szCs w:val="28"/>
          <w:lang w:eastAsia="zh-Hans"/>
        </w:rPr>
      </w:pPr>
      <w:r>
        <w:rPr>
          <w:sz w:val="28"/>
          <w:szCs w:val="28"/>
          <w:lang w:eastAsia="zh-Hans"/>
        </w:rPr>
        <w:t>本系统分为算法和系统两个部分。算法方面，将人脸识别领域Yolov3、FaceNet模型应用于牛脸识别研究中，同时在牛脸身份数据集上完成对模型的训练和评价。此外，搭建身份验证平台，服务于保险业中的牛身份验证业务。</w:t>
      </w:r>
    </w:p>
    <w:p>
      <w:pPr>
        <w:spacing w:line="360" w:lineRule="auto"/>
        <w:ind w:firstLine="560" w:firstLineChars="200"/>
        <w:rPr>
          <w:sz w:val="28"/>
          <w:szCs w:val="28"/>
          <w:lang w:eastAsia="zh-Hans"/>
        </w:rPr>
      </w:pPr>
      <w:r>
        <w:rPr>
          <w:sz w:val="28"/>
          <w:szCs w:val="28"/>
          <w:lang w:eastAsia="zh-Hans"/>
        </w:rPr>
        <w:t>深度学习方法所需要的数据集采集和制作</w:t>
      </w:r>
      <w:r>
        <w:rPr>
          <w:rFonts w:hint="eastAsia"/>
          <w:sz w:val="28"/>
          <w:szCs w:val="28"/>
          <w:lang w:eastAsia="zh-Hans"/>
        </w:rPr>
        <w:t>。</w:t>
      </w:r>
      <w:r>
        <w:rPr>
          <w:sz w:val="28"/>
          <w:szCs w:val="28"/>
          <w:lang w:eastAsia="zh-Hans"/>
        </w:rPr>
        <w:t>数据来源于内蒙古自治区苏尼特左旗地区、乌兰察布市察哈尔地区和包头市土右旗地区牧场，通过高清数码摄像机进行采集，设备型号为松下GH5s。数据集在喂料、挤奶和望风的环境下，从不同的角度、光照等方面进行采集牛脸图像，共采集200头牛，且每头牛挑选80张牛脸图片，总计16000张，构成了数据集CFID200。采用三台高清数码摄像机用于拍摄牛脸图像。我们记录200多头牛在养殖环境下的生长状况并采集牛脸图像，其中每头牛挑选20张牛脸图片。采集部分牛脸图像如图</w:t>
      </w:r>
      <w:r>
        <w:rPr>
          <w:rFonts w:hint="eastAsia"/>
          <w:sz w:val="28"/>
          <w:szCs w:val="28"/>
        </w:rPr>
        <w:t>7</w:t>
      </w:r>
      <w:r>
        <w:rPr>
          <w:sz w:val="28"/>
          <w:szCs w:val="28"/>
          <w:lang w:eastAsia="zh-Hans"/>
        </w:rPr>
        <w:t>所示。</w:t>
      </w:r>
    </w:p>
    <w:p>
      <w:pPr>
        <w:spacing w:line="360" w:lineRule="auto"/>
        <w:jc w:val="center"/>
        <w:rPr>
          <w:sz w:val="28"/>
          <w:szCs w:val="28"/>
          <w:lang w:eastAsia="zh-Hans"/>
        </w:rPr>
      </w:pPr>
      <w:r>
        <w:rPr>
          <w:sz w:val="28"/>
          <w:szCs w:val="28"/>
        </w:rPr>
        <w:drawing>
          <wp:inline distT="0" distB="0" distL="0" distR="0">
            <wp:extent cx="2965450" cy="2438400"/>
            <wp:effectExtent l="0" t="0" r="6350" b="0"/>
            <wp:docPr id="29" name="图片 29" descr="数据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数据集"/>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965450" cy="2438400"/>
                    </a:xfrm>
                    <a:prstGeom prst="rect">
                      <a:avLst/>
                    </a:prstGeom>
                    <a:noFill/>
                    <a:ln>
                      <a:noFill/>
                    </a:ln>
                  </pic:spPr>
                </pic:pic>
              </a:graphicData>
            </a:graphic>
          </wp:inline>
        </w:drawing>
      </w:r>
    </w:p>
    <w:p>
      <w:pPr>
        <w:spacing w:line="360" w:lineRule="auto"/>
        <w:jc w:val="center"/>
        <w:rPr>
          <w:b/>
          <w:sz w:val="24"/>
          <w:lang w:eastAsia="zh-Hans"/>
        </w:rPr>
      </w:pPr>
      <w:bookmarkStart w:id="14" w:name="_Toc11326"/>
      <w:bookmarkStart w:id="15" w:name="_Hlk78223256"/>
      <w:r>
        <w:rPr>
          <w:b/>
          <w:sz w:val="24"/>
          <w:lang w:eastAsia="zh-Hans"/>
        </w:rPr>
        <w:t>图</w:t>
      </w:r>
      <w:r>
        <w:rPr>
          <w:rFonts w:hint="eastAsia"/>
          <w:b/>
          <w:sz w:val="24"/>
        </w:rPr>
        <w:t>7</w:t>
      </w:r>
      <w:r>
        <w:rPr>
          <w:b/>
          <w:sz w:val="24"/>
          <w:lang w:eastAsia="zh-Hans"/>
        </w:rPr>
        <w:t>部分牛脸图像数据</w:t>
      </w:r>
      <w:bookmarkEnd w:id="14"/>
    </w:p>
    <w:bookmarkEnd w:id="15"/>
    <w:p>
      <w:pPr>
        <w:pStyle w:val="37"/>
        <w:widowControl w:val="0"/>
        <w:autoSpaceDE/>
        <w:autoSpaceDN/>
        <w:snapToGrid w:val="0"/>
        <w:spacing w:line="360" w:lineRule="auto"/>
        <w:ind w:firstLine="560"/>
        <w:rPr>
          <w:rFonts w:ascii="Times New Roman"/>
          <w:kern w:val="2"/>
          <w:sz w:val="28"/>
          <w:szCs w:val="28"/>
          <w:lang w:eastAsia="zh-Hans"/>
        </w:rPr>
      </w:pPr>
      <w:r>
        <w:rPr>
          <w:rFonts w:ascii="Times New Roman"/>
          <w:kern w:val="2"/>
          <w:sz w:val="28"/>
          <w:szCs w:val="28"/>
          <w:lang w:eastAsia="zh-Hans"/>
        </w:rPr>
        <w:t>上图中ID号CFID和CFID1表示牛的采集地不同，其次每一个ID对应牛均包含不同的采集场景，如CFID1_000021是同一头牛在挤奶和和喂料场景中的牛脸照片；CFID_00109是同一头牛从不同角度拍摄的牛脸照片；CFID_000046是不同的光照环境下同一头牛的牛脸照片，很明显的可以看出第一张和第二张图片整体颜色不同。除此以外，同一采集地相似的养殖环境进一步提升了识别难度，依赖人的主观判断很难对其进行准确识别。</w:t>
      </w:r>
    </w:p>
    <w:p>
      <w:pPr>
        <w:ind w:firstLine="562" w:firstLineChars="200"/>
        <w:rPr>
          <w:b/>
          <w:bCs/>
          <w:sz w:val="28"/>
          <w:szCs w:val="28"/>
        </w:rPr>
      </w:pPr>
      <w:r>
        <w:rPr>
          <w:b/>
          <w:bCs/>
          <w:sz w:val="28"/>
          <w:szCs w:val="28"/>
          <w:lang w:eastAsia="zh-Hans"/>
        </w:rPr>
        <w:t>（</w:t>
      </w:r>
      <w:r>
        <w:rPr>
          <w:rFonts w:hint="eastAsia"/>
          <w:b/>
          <w:bCs/>
          <w:sz w:val="28"/>
          <w:szCs w:val="28"/>
        </w:rPr>
        <w:t>二</w:t>
      </w:r>
      <w:r>
        <w:rPr>
          <w:b/>
          <w:bCs/>
          <w:sz w:val="28"/>
          <w:szCs w:val="28"/>
          <w:lang w:eastAsia="zh-Hans"/>
        </w:rPr>
        <w:t>）</w:t>
      </w:r>
      <w:r>
        <w:rPr>
          <w:b/>
          <w:bCs/>
          <w:sz w:val="28"/>
          <w:szCs w:val="28"/>
        </w:rPr>
        <w:t>牛脸检测</w:t>
      </w:r>
      <w:r>
        <w:rPr>
          <w:rFonts w:hint="eastAsia"/>
          <w:b/>
          <w:bCs/>
          <w:sz w:val="28"/>
          <w:szCs w:val="28"/>
        </w:rPr>
        <w:t>和特征提取</w:t>
      </w:r>
    </w:p>
    <w:p>
      <w:pPr>
        <w:pStyle w:val="37"/>
        <w:widowControl w:val="0"/>
        <w:snapToGrid w:val="0"/>
        <w:spacing w:line="360" w:lineRule="auto"/>
        <w:ind w:firstLine="560"/>
        <w:jc w:val="left"/>
        <w:rPr>
          <w:rFonts w:hint="eastAsia" w:ascii="Times New Roman"/>
          <w:kern w:val="2"/>
          <w:sz w:val="28"/>
          <w:szCs w:val="28"/>
        </w:rPr>
      </w:pPr>
      <w:r>
        <w:rPr>
          <w:rFonts w:ascii="Times New Roman"/>
          <w:kern w:val="2"/>
          <w:sz w:val="28"/>
          <w:szCs w:val="28"/>
          <w:lang w:eastAsia="zh-Hans"/>
        </w:rPr>
        <w:t>牛脸检测是牛脸身份识别的保证，准确的从图像中获取牛脸部图像能极大的提高身份识别的准确率。系统检测牛的面部，输入的图像经过缩放后统一大小为416×416，经过特征提取网络得到13×13、26×26和52×52三个尺度的特征，然后通过三尺度特征的融合预测出图像中包含的目标框，最后采用非极大值抑制算法剔除冗余目标框，保留得分较高的目标框作为最终的牛脸面部检测结果</w:t>
      </w:r>
      <w:r>
        <w:rPr>
          <w:rFonts w:hint="eastAsia" w:ascii="Times New Roman"/>
          <w:kern w:val="2"/>
          <w:sz w:val="28"/>
          <w:szCs w:val="28"/>
        </w:rPr>
        <w:t>，</w:t>
      </w:r>
      <w:r>
        <w:rPr>
          <w:rFonts w:ascii="Times New Roman"/>
          <w:kern w:val="2"/>
          <w:sz w:val="28"/>
          <w:szCs w:val="28"/>
          <w:lang w:eastAsia="zh-Hans"/>
        </w:rPr>
        <w:t>根据牛的面部检测结果，可以获取牛面部在图像中的位置。将检测结果输入模型中，经过FaceNet提取得到128维向量，即完成牛脸特征的提取。</w:t>
      </w:r>
    </w:p>
    <w:p>
      <w:pPr>
        <w:ind w:firstLine="562" w:firstLineChars="200"/>
      </w:pPr>
      <w:r>
        <w:rPr>
          <w:rFonts w:hint="eastAsia"/>
          <w:b/>
          <w:bCs/>
          <w:sz w:val="28"/>
          <w:szCs w:val="28"/>
        </w:rPr>
        <w:t>六</w:t>
      </w:r>
      <w:r>
        <w:rPr>
          <w:b/>
          <w:bCs/>
          <w:sz w:val="28"/>
          <w:szCs w:val="28"/>
          <w:lang w:eastAsia="zh-Hans"/>
        </w:rPr>
        <w:t>、</w:t>
      </w:r>
      <w:r>
        <w:rPr>
          <w:rFonts w:hint="eastAsia" w:ascii="宋体" w:hAnsi="宋体"/>
          <w:b/>
          <w:sz w:val="28"/>
          <w:szCs w:val="28"/>
        </w:rPr>
        <w:t>研究和应用价值</w:t>
      </w:r>
    </w:p>
    <w:p>
      <w:pPr>
        <w:ind w:firstLine="560" w:firstLineChars="200"/>
        <w:rPr>
          <w:sz w:val="28"/>
          <w:szCs w:val="28"/>
          <w:lang w:eastAsia="zh-Hans"/>
        </w:rPr>
      </w:pPr>
      <w:r>
        <w:rPr>
          <w:sz w:val="28"/>
          <w:szCs w:val="28"/>
          <w:lang w:eastAsia="zh-Hans"/>
        </w:rPr>
        <w:t>本研究中的智能保定及生产性能测定设备，将牲畜电子耳标作为唯一身份识别标识，实现对牲畜体重、体高、体长和臀宽等生长体征信息的自动采集上传，并可根据体重、耳标号等对牲畜进行自动分栏，为进一步分类管理、精准饲养提供技术支持。利用对牲畜体征数据的检测分析，建立计算模型来分析大量数据，估测育种值，将各个性状的基因效应相加得到最优繁育方案，进而提高生产效率以及牲畜福利水平。</w:t>
      </w:r>
    </w:p>
    <w:p>
      <w:pPr>
        <w:rPr>
          <w:sz w:val="28"/>
          <w:szCs w:val="28"/>
          <w:lang w:eastAsia="zh-Hans"/>
        </w:rPr>
      </w:pPr>
      <w:r>
        <w:rPr>
          <w:sz w:val="28"/>
          <w:szCs w:val="28"/>
          <w:lang w:eastAsia="zh-Hans"/>
        </w:rPr>
        <w:t xml:space="preserve">         </w:t>
      </w:r>
    </w:p>
    <w:p/>
    <w:p>
      <w:pPr>
        <w:pStyle w:val="2"/>
        <w:rPr>
          <w:rFonts w:hint="eastAsia" w:ascii="Times New Roman" w:hAnsi="Times New Roman"/>
          <w:b w:val="0"/>
          <w:bCs w:val="0"/>
          <w:snapToGrid w:val="0"/>
          <w:kern w:val="0"/>
          <w:sz w:val="21"/>
          <w:szCs w:val="21"/>
        </w:rPr>
      </w:pPr>
    </w:p>
    <w:p>
      <w:pPr>
        <w:pStyle w:val="2"/>
        <w:rPr>
          <w:rFonts w:hint="eastAsia"/>
        </w:rPr>
      </w:pPr>
    </w:p>
    <w:p/>
    <w:p>
      <w:pPr>
        <w:ind w:firstLine="420" w:firstLineChars="200"/>
        <w:rPr>
          <w:snapToGrid w:val="0"/>
          <w:szCs w:val="21"/>
        </w:rPr>
      </w:pPr>
      <w:r>
        <w:rPr>
          <w:snapToGrid w:val="0"/>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24765</wp:posOffset>
                </wp:positionV>
                <wp:extent cx="6036945" cy="0"/>
                <wp:effectExtent l="0" t="19050" r="1905" b="19050"/>
                <wp:wrapNone/>
                <wp:docPr id="7" name="直线 2"/>
                <wp:cNvGraphicFramePr/>
                <a:graphic xmlns:a="http://schemas.openxmlformats.org/drawingml/2006/main">
                  <a:graphicData uri="http://schemas.microsoft.com/office/word/2010/wordprocessingShape">
                    <wps:wsp>
                      <wps:cNvCnPr/>
                      <wps:spPr>
                        <a:xfrm>
                          <a:off x="0" y="0"/>
                          <a:ext cx="5421630" cy="0"/>
                        </a:xfrm>
                        <a:prstGeom prst="line">
                          <a:avLst/>
                        </a:prstGeom>
                        <a:ln w="38100" cap="flat" cmpd="thickThin">
                          <a:solidFill>
                            <a:srgbClr val="FF0000"/>
                          </a:solidFill>
                          <a:prstDash val="solid"/>
                          <a:headEnd type="none" w="med" len="med"/>
                          <a:tailEnd type="none" w="med" len="med"/>
                        </a:ln>
                        <a:effectLst/>
                      </wps:spPr>
                      <wps:bodyPr/>
                    </wps:wsp>
                  </a:graphicData>
                </a:graphic>
              </wp:anchor>
            </w:drawing>
          </mc:Choice>
          <mc:Fallback>
            <w:pict>
              <v:line id="直线 2" o:spid="_x0000_s1026" o:spt="20" style="position:absolute;left:0pt;margin-top:1.95pt;height:0pt;width:475.35pt;mso-position-horizontal:left;mso-position-horizontal-relative:margin;z-index:251660288;mso-width-relative:page;mso-height-relative:page;" filled="f" stroked="t" coordsize="21600,21600" o:gfxdata="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BQE/9MA&#10;AAAEAQAADwAAAAAAAAABACAAAAAiAAAAZHJzL2Rvd25yZXYueG1sUEsBAhQAFAAAAAgAh07iQFZ5&#10;OVPrAQAA5AMAAA4AAAAAAAAAAQAgAAAAIgEAAGRycy9lMm9Eb2MueG1sUEsFBgAAAAAGAAYAWQEA&#10;AH8FAAAAAA==&#10;">
                <v:fill on="f" focussize="0,0"/>
                <v:stroke weight="3pt" color="#FF0000" linestyle="thickThin" joinstyle="round"/>
                <v:imagedata o:title=""/>
                <o:lock v:ext="edit" aspectratio="f"/>
              </v:line>
            </w:pict>
          </mc:Fallback>
        </mc:AlternateContent>
      </w:r>
    </w:p>
    <w:p>
      <w:pPr>
        <w:jc w:val="left"/>
        <w:rPr>
          <w:snapToGrid w:val="0"/>
        </w:rPr>
      </w:pPr>
      <w:r>
        <w:rPr>
          <w:snapToGrid w:val="0"/>
        </w:rPr>
        <w:t>撰</w:t>
      </w:r>
      <w:r>
        <w:rPr>
          <w:rFonts w:hint="eastAsia"/>
          <w:snapToGrid w:val="0"/>
        </w:rPr>
        <w:t xml:space="preserve"> </w:t>
      </w:r>
      <w:r>
        <w:rPr>
          <w:snapToGrid w:val="0"/>
        </w:rPr>
        <w:t>稿：</w:t>
      </w:r>
      <w:r>
        <w:rPr>
          <w:rFonts w:hint="eastAsia"/>
          <w:snapToGrid w:val="0"/>
        </w:rPr>
        <w:t xml:space="preserve"> 周小凤</w:t>
      </w:r>
      <w:r>
        <w:rPr>
          <w:snapToGrid w:val="0"/>
        </w:rPr>
        <w:t xml:space="preserve">         </w:t>
      </w:r>
      <w:r>
        <w:rPr>
          <w:rFonts w:hint="eastAsia"/>
          <w:snapToGrid w:val="0"/>
        </w:rPr>
        <w:t xml:space="preserve">      </w:t>
      </w:r>
      <w:r>
        <w:rPr>
          <w:snapToGrid w:val="0"/>
        </w:rPr>
        <w:t xml:space="preserve">编 辑： 王英姿  　                审 核：任 艳  张长青    </w:t>
      </w:r>
    </w:p>
    <w:p>
      <w:pPr>
        <w:jc w:val="left"/>
        <w:rPr>
          <w:snapToGrid w:val="0"/>
        </w:rPr>
      </w:pPr>
      <w:r>
        <w:rPr>
          <w:snapToGrid w:val="0"/>
        </w:rPr>
        <w:t xml:space="preserve">电 话： 3320076            </w:t>
      </w:r>
      <w:r>
        <w:rPr>
          <w:rFonts w:hint="eastAsia"/>
          <w:snapToGrid w:val="0"/>
        </w:rPr>
        <w:t xml:space="preserve"> </w:t>
      </w:r>
      <w:r>
        <w:rPr>
          <w:snapToGrid w:val="0"/>
        </w:rPr>
        <w:t xml:space="preserve"> 地 址： 明德楼411室              电子邮箱：</w:t>
      </w:r>
      <w:r>
        <w:fldChar w:fldCharType="begin"/>
      </w:r>
      <w:r>
        <w:instrText xml:space="preserve"> HYPERLINK "mailto:kycycgg@163.com" </w:instrText>
      </w:r>
      <w:r>
        <w:fldChar w:fldCharType="separate"/>
      </w:r>
      <w:r>
        <w:rPr>
          <w:rStyle w:val="20"/>
          <w:snapToGrid w:val="0"/>
        </w:rPr>
        <w:t>kycycgg@163.com</w:t>
      </w:r>
      <w:r>
        <w:rPr>
          <w:rStyle w:val="20"/>
          <w:snapToGrid w:val="0"/>
        </w:rPr>
        <w:fldChar w:fldCharType="end"/>
      </w:r>
    </w:p>
    <w:p>
      <w:pPr>
        <w:ind w:firstLine="420" w:firstLineChars="200"/>
        <w:jc w:val="left"/>
        <w:rPr>
          <w:rFonts w:eastAsia="仿宋_GB2312"/>
          <w:snapToGrid w:val="0"/>
          <w:sz w:val="32"/>
          <w:szCs w:val="32"/>
        </w:rPr>
      </w:pPr>
      <w:r>
        <w:rPr>
          <w:snapToGrid w:val="0"/>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140970</wp:posOffset>
                </wp:positionV>
                <wp:extent cx="6036945" cy="9525"/>
                <wp:effectExtent l="0" t="19050" r="1905" b="28575"/>
                <wp:wrapNone/>
                <wp:docPr id="8" name="直线 2"/>
                <wp:cNvGraphicFramePr/>
                <a:graphic xmlns:a="http://schemas.openxmlformats.org/drawingml/2006/main">
                  <a:graphicData uri="http://schemas.microsoft.com/office/word/2010/wordprocessingShape">
                    <wps:wsp>
                      <wps:cNvCnPr/>
                      <wps:spPr>
                        <a:xfrm flipV="1">
                          <a:off x="0" y="0"/>
                          <a:ext cx="5383530" cy="9525"/>
                        </a:xfrm>
                        <a:prstGeom prst="line">
                          <a:avLst/>
                        </a:prstGeom>
                        <a:ln w="38100" cap="flat" cmpd="thickThin">
                          <a:solidFill>
                            <a:srgbClr val="FF0000"/>
                          </a:solidFill>
                          <a:prstDash val="solid"/>
                          <a:headEnd type="none" w="med" len="med"/>
                          <a:tailEnd type="none" w="med" len="med"/>
                        </a:ln>
                        <a:effectLst/>
                      </wps:spPr>
                      <wps:bodyPr/>
                    </wps:wsp>
                  </a:graphicData>
                </a:graphic>
              </wp:anchor>
            </w:drawing>
          </mc:Choice>
          <mc:Fallback>
            <w:pict>
              <v:line id="直线 2" o:spid="_x0000_s1026" o:spt="20" style="position:absolute;left:0pt;flip:y;margin-top:11.1pt;height:0.75pt;width:475.35pt;mso-position-horizontal:left;mso-position-horizontal-relative:margin;z-index:251661312;mso-width-relative:page;mso-height-relative:page;" filled="f" stroked="t" coordsize="21600,21600" o:gfxdata="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gQXSfYAAAABgEAAA8AAAAAAAAAAQAgAAAAIgAAAGRycy9kb3ducmV2LnhtbFBLAQIU&#10;ABQAAAAIAIdO4kBG4mxE8wEAAPEDAAAOAAAAAAAAAAEAIAAAACcBAABkcnMvZTJvRG9jLnhtbFBL&#10;BQYAAAAABgAGAFkBAACMBQAAAAA=&#10;">
                <v:fill on="f" focussize="0,0"/>
                <v:stroke weight="3pt" color="#FF0000" linestyle="thickThin" joinstyle="round"/>
                <v:imagedata o:title=""/>
                <o:lock v:ext="edit" aspectratio="f"/>
              </v:line>
            </w:pict>
          </mc:Fallback>
        </mc:AlternateContent>
      </w:r>
    </w:p>
    <w:sectPr>
      <w:footerReference r:id="rId3" w:type="default"/>
      <w:footerReference r:id="rId4" w:type="even"/>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iti SC Medium">
    <w:altName w:val="宋体"/>
    <w:panose1 w:val="00000000000000000000"/>
    <w:charset w:val="86"/>
    <w:family w:val="auto"/>
    <w:pitch w:val="default"/>
    <w:sig w:usb0="00000000" w:usb1="00000000" w:usb2="00000000" w:usb3="00000000" w:csb0="00160000" w:csb1="00000000"/>
  </w:font>
  <w:font w:name="Cambria">
    <w:panose1 w:val="02040503050406030204"/>
    <w:charset w:val="00"/>
    <w:family w:val="roman"/>
    <w:pitch w:val="default"/>
    <w:sig w:usb0="E00002FF" w:usb1="400004FF" w:usb2="00000000" w:usb3="00000000" w:csb0="2000019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等线">
    <w:panose1 w:val="02010600030101010101"/>
    <w:charset w:val="86"/>
    <w:family w:val="auto"/>
    <w:pitch w:val="default"/>
    <w:sig w:usb0="A00002BF" w:usb1="38CF7CFA" w:usb2="00000016" w:usb3="00000000" w:csb0="0004000F" w:csb1="00000000"/>
  </w:font>
  <w:font w:name="Songti SC">
    <w:altName w:val="宋体"/>
    <w:panose1 w:val="00000000000000000000"/>
    <w:charset w:val="86"/>
    <w:family w:val="auto"/>
    <w:pitch w:val="default"/>
    <w:sig w:usb0="00000000" w:usb1="00000000" w:usb2="00000000" w:usb3="00000000" w:csb0="00160000" w:csb1="00000000"/>
  </w:font>
  <w:font w:name="Times New Roman Regular">
    <w:altName w:val="Times New Roman"/>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9"/>
      </w:rPr>
    </w:pPr>
    <w:r>
      <w:rPr>
        <w:rStyle w:val="19"/>
        <w:rFonts w:hint="eastAsia"/>
      </w:rPr>
      <w:t xml:space="preserve">— </w:t>
    </w:r>
    <w:r>
      <w:rPr>
        <w:rStyle w:val="19"/>
      </w:rPr>
      <w:fldChar w:fldCharType="begin"/>
    </w:r>
    <w:r>
      <w:rPr>
        <w:rStyle w:val="19"/>
      </w:rPr>
      <w:instrText xml:space="preserve">PAGE  </w:instrText>
    </w:r>
    <w:r>
      <w:rPr>
        <w:rStyle w:val="19"/>
      </w:rPr>
      <w:fldChar w:fldCharType="separate"/>
    </w:r>
    <w:r>
      <w:rPr>
        <w:rStyle w:val="19"/>
      </w:rPr>
      <w:t>7</w:t>
    </w:r>
    <w:r>
      <w:rPr>
        <w:rStyle w:val="19"/>
      </w:rPr>
      <w:fldChar w:fldCharType="end"/>
    </w:r>
    <w:r>
      <w:rPr>
        <w:rStyle w:val="19"/>
        <w:rFonts w:hint="eastAsia"/>
      </w:rPr>
      <w:t xml:space="preserve"> —</w:t>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9"/>
      </w:rPr>
    </w:pPr>
    <w:r>
      <w:rPr>
        <w:rStyle w:val="19"/>
      </w:rPr>
      <w:fldChar w:fldCharType="begin"/>
    </w:r>
    <w:r>
      <w:rPr>
        <w:rStyle w:val="19"/>
      </w:rPr>
      <w:instrText xml:space="preserve">PAGE  </w:instrText>
    </w:r>
    <w:r>
      <w:rPr>
        <w:rStyle w:val="19"/>
      </w:rPr>
      <w:fldChar w:fldCharType="end"/>
    </w:r>
  </w:p>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xNmNlNmNhZTNlZmNkMjczZTg0NDhlMTJkOGFjNDkifQ=="/>
  </w:docVars>
  <w:rsids>
    <w:rsidRoot w:val="00924D9F"/>
    <w:rsid w:val="00007BA7"/>
    <w:rsid w:val="00010459"/>
    <w:rsid w:val="00010663"/>
    <w:rsid w:val="00014E9B"/>
    <w:rsid w:val="00025ED0"/>
    <w:rsid w:val="00030248"/>
    <w:rsid w:val="00030BE8"/>
    <w:rsid w:val="00040C11"/>
    <w:rsid w:val="000430B9"/>
    <w:rsid w:val="000470B8"/>
    <w:rsid w:val="0006120A"/>
    <w:rsid w:val="00065AEC"/>
    <w:rsid w:val="00066A5D"/>
    <w:rsid w:val="00070B35"/>
    <w:rsid w:val="00072DC9"/>
    <w:rsid w:val="000733FB"/>
    <w:rsid w:val="00076A9D"/>
    <w:rsid w:val="00076FF4"/>
    <w:rsid w:val="00083DB7"/>
    <w:rsid w:val="000849E4"/>
    <w:rsid w:val="00085E62"/>
    <w:rsid w:val="000A7233"/>
    <w:rsid w:val="000B022D"/>
    <w:rsid w:val="000C45E8"/>
    <w:rsid w:val="000C46A1"/>
    <w:rsid w:val="000C4DA2"/>
    <w:rsid w:val="000E46B4"/>
    <w:rsid w:val="000E7BCC"/>
    <w:rsid w:val="000F28C0"/>
    <w:rsid w:val="000F68CA"/>
    <w:rsid w:val="00106F06"/>
    <w:rsid w:val="001231CD"/>
    <w:rsid w:val="001263D3"/>
    <w:rsid w:val="00131359"/>
    <w:rsid w:val="00133254"/>
    <w:rsid w:val="00140645"/>
    <w:rsid w:val="0014741E"/>
    <w:rsid w:val="00154382"/>
    <w:rsid w:val="00160C64"/>
    <w:rsid w:val="001632B5"/>
    <w:rsid w:val="00165466"/>
    <w:rsid w:val="00180F66"/>
    <w:rsid w:val="00187B9E"/>
    <w:rsid w:val="00197E55"/>
    <w:rsid w:val="001A5F40"/>
    <w:rsid w:val="001A6035"/>
    <w:rsid w:val="001A7A6A"/>
    <w:rsid w:val="001B17B7"/>
    <w:rsid w:val="001B57EF"/>
    <w:rsid w:val="001D6877"/>
    <w:rsid w:val="001E01BF"/>
    <w:rsid w:val="001F0091"/>
    <w:rsid w:val="00200280"/>
    <w:rsid w:val="0020434B"/>
    <w:rsid w:val="00215FC3"/>
    <w:rsid w:val="00224CDF"/>
    <w:rsid w:val="00232D74"/>
    <w:rsid w:val="0025144F"/>
    <w:rsid w:val="00263756"/>
    <w:rsid w:val="002667A5"/>
    <w:rsid w:val="00271A73"/>
    <w:rsid w:val="00276668"/>
    <w:rsid w:val="00276A56"/>
    <w:rsid w:val="002901D0"/>
    <w:rsid w:val="002B6DF4"/>
    <w:rsid w:val="002B75F0"/>
    <w:rsid w:val="002C1472"/>
    <w:rsid w:val="002C22D2"/>
    <w:rsid w:val="002C392C"/>
    <w:rsid w:val="002D30B5"/>
    <w:rsid w:val="002D3C07"/>
    <w:rsid w:val="002F5067"/>
    <w:rsid w:val="00305C9C"/>
    <w:rsid w:val="00317726"/>
    <w:rsid w:val="00324591"/>
    <w:rsid w:val="0032643F"/>
    <w:rsid w:val="0033240B"/>
    <w:rsid w:val="00335B66"/>
    <w:rsid w:val="003369A0"/>
    <w:rsid w:val="00337DA2"/>
    <w:rsid w:val="0037292E"/>
    <w:rsid w:val="00375568"/>
    <w:rsid w:val="00383D11"/>
    <w:rsid w:val="00385990"/>
    <w:rsid w:val="00390645"/>
    <w:rsid w:val="003B7AFE"/>
    <w:rsid w:val="003C609D"/>
    <w:rsid w:val="003C6D94"/>
    <w:rsid w:val="003D0330"/>
    <w:rsid w:val="003E1848"/>
    <w:rsid w:val="003E18D5"/>
    <w:rsid w:val="003F17DA"/>
    <w:rsid w:val="00400A7C"/>
    <w:rsid w:val="00415A37"/>
    <w:rsid w:val="00417635"/>
    <w:rsid w:val="00417F32"/>
    <w:rsid w:val="0043095D"/>
    <w:rsid w:val="00430B4E"/>
    <w:rsid w:val="00442286"/>
    <w:rsid w:val="00444752"/>
    <w:rsid w:val="004553F8"/>
    <w:rsid w:val="004566F7"/>
    <w:rsid w:val="004675FF"/>
    <w:rsid w:val="0047390B"/>
    <w:rsid w:val="00486976"/>
    <w:rsid w:val="004932E4"/>
    <w:rsid w:val="004A3E91"/>
    <w:rsid w:val="004A57B2"/>
    <w:rsid w:val="004A5975"/>
    <w:rsid w:val="004A5FF6"/>
    <w:rsid w:val="004C5E4B"/>
    <w:rsid w:val="004D1218"/>
    <w:rsid w:val="004D44C9"/>
    <w:rsid w:val="004E2689"/>
    <w:rsid w:val="004E392D"/>
    <w:rsid w:val="0050044E"/>
    <w:rsid w:val="0051410F"/>
    <w:rsid w:val="00521943"/>
    <w:rsid w:val="00525B51"/>
    <w:rsid w:val="005314D5"/>
    <w:rsid w:val="0053752A"/>
    <w:rsid w:val="005423C4"/>
    <w:rsid w:val="005468BD"/>
    <w:rsid w:val="00553608"/>
    <w:rsid w:val="00564045"/>
    <w:rsid w:val="00571CBB"/>
    <w:rsid w:val="005759B5"/>
    <w:rsid w:val="0058225B"/>
    <w:rsid w:val="00585A19"/>
    <w:rsid w:val="00587648"/>
    <w:rsid w:val="00587CE0"/>
    <w:rsid w:val="00592750"/>
    <w:rsid w:val="00594872"/>
    <w:rsid w:val="0059554B"/>
    <w:rsid w:val="005A1D8D"/>
    <w:rsid w:val="005A1F81"/>
    <w:rsid w:val="005A4232"/>
    <w:rsid w:val="005A66A3"/>
    <w:rsid w:val="005A66EB"/>
    <w:rsid w:val="005A6FF1"/>
    <w:rsid w:val="005E2BB3"/>
    <w:rsid w:val="005F68F3"/>
    <w:rsid w:val="006055D3"/>
    <w:rsid w:val="00611409"/>
    <w:rsid w:val="00617D33"/>
    <w:rsid w:val="00622CC5"/>
    <w:rsid w:val="006253EE"/>
    <w:rsid w:val="006309EA"/>
    <w:rsid w:val="006358AA"/>
    <w:rsid w:val="00642E23"/>
    <w:rsid w:val="00647E10"/>
    <w:rsid w:val="0065472A"/>
    <w:rsid w:val="006554A7"/>
    <w:rsid w:val="0067609F"/>
    <w:rsid w:val="00680A7E"/>
    <w:rsid w:val="00684771"/>
    <w:rsid w:val="00693AF7"/>
    <w:rsid w:val="006A4660"/>
    <w:rsid w:val="006C57D5"/>
    <w:rsid w:val="006E4079"/>
    <w:rsid w:val="006E65CE"/>
    <w:rsid w:val="0073079D"/>
    <w:rsid w:val="0073673F"/>
    <w:rsid w:val="0074129E"/>
    <w:rsid w:val="007538DF"/>
    <w:rsid w:val="00762E4D"/>
    <w:rsid w:val="007775B1"/>
    <w:rsid w:val="0079251C"/>
    <w:rsid w:val="00794EE0"/>
    <w:rsid w:val="00797D88"/>
    <w:rsid w:val="007A5F30"/>
    <w:rsid w:val="007B0344"/>
    <w:rsid w:val="007D08EA"/>
    <w:rsid w:val="007D376B"/>
    <w:rsid w:val="007E4D1C"/>
    <w:rsid w:val="00800A2E"/>
    <w:rsid w:val="00801A5A"/>
    <w:rsid w:val="008057C0"/>
    <w:rsid w:val="00814785"/>
    <w:rsid w:val="008159D5"/>
    <w:rsid w:val="00832E17"/>
    <w:rsid w:val="00835C9E"/>
    <w:rsid w:val="00836754"/>
    <w:rsid w:val="00850B72"/>
    <w:rsid w:val="008625D1"/>
    <w:rsid w:val="00867AAB"/>
    <w:rsid w:val="008709EB"/>
    <w:rsid w:val="00885680"/>
    <w:rsid w:val="00896F3F"/>
    <w:rsid w:val="008A4F98"/>
    <w:rsid w:val="008A5A32"/>
    <w:rsid w:val="008C2AE7"/>
    <w:rsid w:val="008D2945"/>
    <w:rsid w:val="008E6B65"/>
    <w:rsid w:val="00924D9F"/>
    <w:rsid w:val="00930C50"/>
    <w:rsid w:val="00945A17"/>
    <w:rsid w:val="00947C2D"/>
    <w:rsid w:val="009557F8"/>
    <w:rsid w:val="0096336A"/>
    <w:rsid w:val="00975960"/>
    <w:rsid w:val="009776BD"/>
    <w:rsid w:val="009837BA"/>
    <w:rsid w:val="00985EF4"/>
    <w:rsid w:val="00986451"/>
    <w:rsid w:val="00987AA3"/>
    <w:rsid w:val="00992864"/>
    <w:rsid w:val="00994206"/>
    <w:rsid w:val="00995829"/>
    <w:rsid w:val="009979F2"/>
    <w:rsid w:val="009A17FD"/>
    <w:rsid w:val="009C758B"/>
    <w:rsid w:val="009E4419"/>
    <w:rsid w:val="009F2B32"/>
    <w:rsid w:val="00A00876"/>
    <w:rsid w:val="00A02D40"/>
    <w:rsid w:val="00A17C9E"/>
    <w:rsid w:val="00A31AFA"/>
    <w:rsid w:val="00A3562B"/>
    <w:rsid w:val="00A47209"/>
    <w:rsid w:val="00A55BDA"/>
    <w:rsid w:val="00A82C9B"/>
    <w:rsid w:val="00A973E1"/>
    <w:rsid w:val="00AB2C66"/>
    <w:rsid w:val="00AC24F4"/>
    <w:rsid w:val="00AC5D6E"/>
    <w:rsid w:val="00AD394E"/>
    <w:rsid w:val="00AD3C6A"/>
    <w:rsid w:val="00AD7D7A"/>
    <w:rsid w:val="00AE1302"/>
    <w:rsid w:val="00AE277E"/>
    <w:rsid w:val="00B01447"/>
    <w:rsid w:val="00B113B6"/>
    <w:rsid w:val="00B177A7"/>
    <w:rsid w:val="00B17985"/>
    <w:rsid w:val="00B209E8"/>
    <w:rsid w:val="00B21E54"/>
    <w:rsid w:val="00B23337"/>
    <w:rsid w:val="00B276CB"/>
    <w:rsid w:val="00B41D63"/>
    <w:rsid w:val="00B5679D"/>
    <w:rsid w:val="00B57B36"/>
    <w:rsid w:val="00B65296"/>
    <w:rsid w:val="00B75879"/>
    <w:rsid w:val="00B851F5"/>
    <w:rsid w:val="00B90730"/>
    <w:rsid w:val="00B94E6E"/>
    <w:rsid w:val="00BC1961"/>
    <w:rsid w:val="00BC4789"/>
    <w:rsid w:val="00BC4F81"/>
    <w:rsid w:val="00BC6E07"/>
    <w:rsid w:val="00BC707C"/>
    <w:rsid w:val="00BE0781"/>
    <w:rsid w:val="00BE1A64"/>
    <w:rsid w:val="00C059DF"/>
    <w:rsid w:val="00C16C86"/>
    <w:rsid w:val="00C318AA"/>
    <w:rsid w:val="00C334B2"/>
    <w:rsid w:val="00C35F23"/>
    <w:rsid w:val="00C436CA"/>
    <w:rsid w:val="00C55B44"/>
    <w:rsid w:val="00C55B84"/>
    <w:rsid w:val="00C6493C"/>
    <w:rsid w:val="00C71EA3"/>
    <w:rsid w:val="00C93059"/>
    <w:rsid w:val="00CA29CC"/>
    <w:rsid w:val="00CB1F19"/>
    <w:rsid w:val="00CB3813"/>
    <w:rsid w:val="00CC0040"/>
    <w:rsid w:val="00CC06E8"/>
    <w:rsid w:val="00CC2A56"/>
    <w:rsid w:val="00CD23A9"/>
    <w:rsid w:val="00CE01C6"/>
    <w:rsid w:val="00CE1236"/>
    <w:rsid w:val="00CE36EB"/>
    <w:rsid w:val="00CE4175"/>
    <w:rsid w:val="00CE52C4"/>
    <w:rsid w:val="00CF3149"/>
    <w:rsid w:val="00CF3175"/>
    <w:rsid w:val="00CF62FF"/>
    <w:rsid w:val="00CF7E45"/>
    <w:rsid w:val="00D0542E"/>
    <w:rsid w:val="00D054A2"/>
    <w:rsid w:val="00D06B9E"/>
    <w:rsid w:val="00D07E3C"/>
    <w:rsid w:val="00D10D19"/>
    <w:rsid w:val="00D24F55"/>
    <w:rsid w:val="00D25016"/>
    <w:rsid w:val="00D370E5"/>
    <w:rsid w:val="00D407A8"/>
    <w:rsid w:val="00D450C7"/>
    <w:rsid w:val="00D45952"/>
    <w:rsid w:val="00D54F77"/>
    <w:rsid w:val="00D57CC6"/>
    <w:rsid w:val="00D64D68"/>
    <w:rsid w:val="00D76AB8"/>
    <w:rsid w:val="00D8322B"/>
    <w:rsid w:val="00D86FE3"/>
    <w:rsid w:val="00D87466"/>
    <w:rsid w:val="00D87DB3"/>
    <w:rsid w:val="00D9068C"/>
    <w:rsid w:val="00D913B9"/>
    <w:rsid w:val="00DA5E7E"/>
    <w:rsid w:val="00DB5437"/>
    <w:rsid w:val="00DB649E"/>
    <w:rsid w:val="00DC24DA"/>
    <w:rsid w:val="00DE0363"/>
    <w:rsid w:val="00DF23DB"/>
    <w:rsid w:val="00E03F9D"/>
    <w:rsid w:val="00E05C11"/>
    <w:rsid w:val="00E15E16"/>
    <w:rsid w:val="00E32008"/>
    <w:rsid w:val="00E511C9"/>
    <w:rsid w:val="00E52ED8"/>
    <w:rsid w:val="00E55263"/>
    <w:rsid w:val="00E610C1"/>
    <w:rsid w:val="00E70CD3"/>
    <w:rsid w:val="00E71A69"/>
    <w:rsid w:val="00E84133"/>
    <w:rsid w:val="00E87198"/>
    <w:rsid w:val="00E9253E"/>
    <w:rsid w:val="00E97656"/>
    <w:rsid w:val="00EA212F"/>
    <w:rsid w:val="00EA3550"/>
    <w:rsid w:val="00EB6D1B"/>
    <w:rsid w:val="00EC1606"/>
    <w:rsid w:val="00EC27FF"/>
    <w:rsid w:val="00ED11E5"/>
    <w:rsid w:val="00ED6018"/>
    <w:rsid w:val="00EF0971"/>
    <w:rsid w:val="00EF621D"/>
    <w:rsid w:val="00EF71F2"/>
    <w:rsid w:val="00F02A03"/>
    <w:rsid w:val="00F21E1E"/>
    <w:rsid w:val="00F36C35"/>
    <w:rsid w:val="00F412E3"/>
    <w:rsid w:val="00F51C62"/>
    <w:rsid w:val="00F706CB"/>
    <w:rsid w:val="00F70D6D"/>
    <w:rsid w:val="00F935AA"/>
    <w:rsid w:val="00F95E2F"/>
    <w:rsid w:val="00FA69CC"/>
    <w:rsid w:val="00FB32D1"/>
    <w:rsid w:val="00FB6BB9"/>
    <w:rsid w:val="00FC7404"/>
    <w:rsid w:val="00FD7BC7"/>
    <w:rsid w:val="00FE2FA9"/>
    <w:rsid w:val="00FE41A8"/>
    <w:rsid w:val="00FE48D2"/>
    <w:rsid w:val="00FE6405"/>
    <w:rsid w:val="049C7334"/>
    <w:rsid w:val="249029DF"/>
    <w:rsid w:val="27B23302"/>
    <w:rsid w:val="2B013C59"/>
    <w:rsid w:val="2BAB4531"/>
    <w:rsid w:val="390D654C"/>
    <w:rsid w:val="3AB6C0E5"/>
    <w:rsid w:val="42291FBB"/>
    <w:rsid w:val="42D00E30"/>
    <w:rsid w:val="4AB926FD"/>
    <w:rsid w:val="4FC868B1"/>
    <w:rsid w:val="52070B14"/>
    <w:rsid w:val="54377FCA"/>
    <w:rsid w:val="677D3F57"/>
    <w:rsid w:val="6BF85FC7"/>
    <w:rsid w:val="6C6677E4"/>
    <w:rsid w:val="77D77227"/>
    <w:rsid w:val="78A95909"/>
    <w:rsid w:val="7DF54524"/>
    <w:rsid w:val="7F672136"/>
    <w:rsid w:val="BFF75BF2"/>
    <w:rsid w:val="DF370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b/>
      <w:bCs/>
      <w:kern w:val="44"/>
      <w:sz w:val="48"/>
      <w:szCs w:val="48"/>
    </w:rPr>
  </w:style>
  <w:style w:type="paragraph" w:styleId="4">
    <w:name w:val="heading 2"/>
    <w:basedOn w:val="1"/>
    <w:next w:val="1"/>
    <w:unhideWhenUsed/>
    <w:qFormat/>
    <w:uiPriority w:val="99"/>
    <w:pPr>
      <w:keepNext/>
      <w:keepLines/>
      <w:outlineLvl w:val="1"/>
    </w:pPr>
    <w:rPr>
      <w:rFonts w:eastAsia="Heiti SC Medium" w:asciiTheme="minorHAnsi" w:hAnsiTheme="minorHAnsi" w:cstheme="majorBidi"/>
      <w:bCs/>
      <w:szCs w:val="32"/>
    </w:rPr>
  </w:style>
  <w:style w:type="paragraph" w:styleId="5">
    <w:name w:val="heading 3"/>
    <w:basedOn w:val="1"/>
    <w:next w:val="1"/>
    <w:link w:val="33"/>
    <w:unhideWhenUsed/>
    <w:qFormat/>
    <w:uiPriority w:val="9"/>
    <w:pPr>
      <w:keepNext/>
      <w:keepLines/>
      <w:outlineLvl w:val="2"/>
    </w:pPr>
    <w:rPr>
      <w:rFonts w:eastAsiaTheme="minorEastAsia"/>
      <w:bCs/>
      <w:szCs w:val="32"/>
    </w:rPr>
  </w:style>
  <w:style w:type="paragraph" w:styleId="2">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link w:val="39"/>
    <w:qFormat/>
    <w:uiPriority w:val="0"/>
    <w:pPr>
      <w:snapToGrid w:val="0"/>
      <w:spacing w:after="220" w:line="180" w:lineRule="atLeast"/>
      <w:jc w:val="center"/>
    </w:pPr>
    <w:rPr>
      <w:rFonts w:ascii="Calibri" w:hAnsi="Calibri" w:cs="黑体"/>
      <w:sz w:val="30"/>
      <w:szCs w:val="22"/>
    </w:rPr>
  </w:style>
  <w:style w:type="paragraph" w:styleId="8">
    <w:name w:val="Balloon Text"/>
    <w:basedOn w:val="1"/>
    <w:semiHidden/>
    <w:qFormat/>
    <w:uiPriority w:val="0"/>
    <w:rPr>
      <w:sz w:val="18"/>
      <w:szCs w:val="18"/>
    </w:rPr>
  </w:style>
  <w:style w:type="paragraph" w:styleId="9">
    <w:name w:val="footer"/>
    <w:basedOn w:val="1"/>
    <w:link w:val="21"/>
    <w:qFormat/>
    <w:uiPriority w:val="99"/>
    <w:pPr>
      <w:tabs>
        <w:tab w:val="center" w:pos="4153"/>
        <w:tab w:val="right" w:pos="8306"/>
      </w:tabs>
      <w:snapToGrid w:val="0"/>
      <w:jc w:val="left"/>
    </w:pPr>
    <w:rPr>
      <w:sz w:val="18"/>
      <w:szCs w:val="18"/>
    </w:rPr>
  </w:style>
  <w:style w:type="paragraph" w:styleId="10">
    <w:name w:val="header"/>
    <w:basedOn w:val="1"/>
    <w:link w:val="22"/>
    <w:qFormat/>
    <w:uiPriority w:val="99"/>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link w:val="23"/>
    <w:qFormat/>
    <w:uiPriority w:val="99"/>
    <w:pPr>
      <w:spacing w:line="360" w:lineRule="auto"/>
      <w:ind w:firstLine="200" w:firstLineChars="200"/>
      <w:jc w:val="left"/>
      <w:outlineLvl w:val="1"/>
    </w:pPr>
    <w:rPr>
      <w:rFonts w:ascii="等线 Light" w:hAnsi="等线 Light" w:eastAsia="黑体"/>
      <w:bCs/>
      <w:kern w:val="28"/>
      <w:sz w:val="24"/>
    </w:rPr>
  </w:style>
  <w:style w:type="paragraph" w:styleId="12">
    <w:name w:val="Normal (Web)"/>
    <w:basedOn w:val="1"/>
    <w:unhideWhenUsed/>
    <w:qFormat/>
    <w:uiPriority w:val="99"/>
    <w:pPr>
      <w:spacing w:before="100" w:beforeAutospacing="1" w:after="100" w:afterAutospacing="1"/>
      <w:jc w:val="left"/>
    </w:pPr>
    <w:rPr>
      <w:kern w:val="0"/>
      <w:sz w:val="24"/>
    </w:rPr>
  </w:style>
  <w:style w:type="paragraph" w:styleId="13">
    <w:name w:val="Title"/>
    <w:basedOn w:val="1"/>
    <w:next w:val="1"/>
    <w:link w:val="24"/>
    <w:qFormat/>
    <w:uiPriority w:val="99"/>
    <w:pPr>
      <w:spacing w:before="240" w:after="60"/>
      <w:jc w:val="center"/>
      <w:outlineLvl w:val="0"/>
    </w:pPr>
    <w:rPr>
      <w:rFonts w:ascii="等线 Light" w:hAnsi="等线 Light"/>
      <w:b/>
      <w:bCs/>
      <w:sz w:val="32"/>
      <w:szCs w:val="32"/>
    </w:rPr>
  </w:style>
  <w:style w:type="table" w:styleId="15">
    <w:name w:val="Table Grid"/>
    <w:basedOn w:val="1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6">
    <w:name w:val="Medium Grid 3 Accent 1"/>
    <w:basedOn w:val="14"/>
    <w:qFormat/>
    <w:uiPriority w:val="69"/>
    <w:rPr>
      <w:rFonts w:ascii="Calibri" w:hAnsi="Calibri" w:eastAsia="微软雅黑"/>
      <w:sz w:val="22"/>
      <w:szCs w:val="22"/>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nil"/>
          <w:bottom w:val="single" w:color="FFFFFF" w:sz="8" w:space="0"/>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18">
    <w:name w:val="Strong"/>
    <w:qFormat/>
    <w:uiPriority w:val="0"/>
    <w:rPr>
      <w:b/>
      <w:bCs/>
    </w:rPr>
  </w:style>
  <w:style w:type="character" w:styleId="19">
    <w:name w:val="page number"/>
    <w:basedOn w:val="17"/>
    <w:qFormat/>
    <w:uiPriority w:val="0"/>
  </w:style>
  <w:style w:type="character" w:styleId="20">
    <w:name w:val="Hyperlink"/>
    <w:unhideWhenUsed/>
    <w:qFormat/>
    <w:uiPriority w:val="99"/>
    <w:rPr>
      <w:color w:val="0000FF"/>
      <w:u w:val="single"/>
    </w:rPr>
  </w:style>
  <w:style w:type="character" w:customStyle="1" w:styleId="21">
    <w:name w:val="页脚 Char"/>
    <w:link w:val="9"/>
    <w:qFormat/>
    <w:uiPriority w:val="99"/>
    <w:rPr>
      <w:kern w:val="2"/>
      <w:sz w:val="18"/>
      <w:szCs w:val="18"/>
    </w:rPr>
  </w:style>
  <w:style w:type="character" w:customStyle="1" w:styleId="22">
    <w:name w:val="页眉 Char"/>
    <w:link w:val="10"/>
    <w:qFormat/>
    <w:uiPriority w:val="99"/>
    <w:rPr>
      <w:kern w:val="2"/>
      <w:sz w:val="18"/>
      <w:szCs w:val="18"/>
    </w:rPr>
  </w:style>
  <w:style w:type="character" w:customStyle="1" w:styleId="23">
    <w:name w:val="副标题 Char"/>
    <w:link w:val="11"/>
    <w:qFormat/>
    <w:uiPriority w:val="99"/>
    <w:rPr>
      <w:rFonts w:ascii="等线 Light" w:hAnsi="等线 Light" w:eastAsia="黑体"/>
      <w:bCs/>
      <w:kern w:val="28"/>
      <w:sz w:val="24"/>
      <w:szCs w:val="24"/>
    </w:rPr>
  </w:style>
  <w:style w:type="character" w:customStyle="1" w:styleId="24">
    <w:name w:val="标题 Char"/>
    <w:link w:val="13"/>
    <w:qFormat/>
    <w:uiPriority w:val="99"/>
    <w:rPr>
      <w:rFonts w:ascii="等线 Light" w:hAnsi="等线 Light" w:cs="Times New Roman"/>
      <w:b/>
      <w:bCs/>
      <w:kern w:val="2"/>
      <w:sz w:val="32"/>
      <w:szCs w:val="32"/>
    </w:rPr>
  </w:style>
  <w:style w:type="character" w:customStyle="1" w:styleId="25">
    <w:name w:val="large1"/>
    <w:qFormat/>
    <w:uiPriority w:val="0"/>
    <w:rPr>
      <w:rFonts w:hint="eastAsia" w:ascii="宋体" w:hAnsi="宋体" w:eastAsia="宋体"/>
      <w:sz w:val="22"/>
      <w:szCs w:val="22"/>
    </w:rPr>
  </w:style>
  <w:style w:type="paragraph" w:styleId="26">
    <w:name w:val="List Paragraph"/>
    <w:basedOn w:val="1"/>
    <w:qFormat/>
    <w:uiPriority w:val="0"/>
    <w:pPr>
      <w:ind w:firstLine="420" w:firstLineChars="200"/>
    </w:pPr>
    <w:rPr>
      <w:rFonts w:ascii="Calibri" w:hAnsi="Calibri" w:cs="Calibri"/>
      <w:szCs w:val="21"/>
    </w:rPr>
  </w:style>
  <w:style w:type="paragraph" w:styleId="27">
    <w:name w:val="No Spacing"/>
    <w:link w:val="28"/>
    <w:qFormat/>
    <w:uiPriority w:val="1"/>
    <w:pPr>
      <w:ind w:firstLine="200" w:firstLineChars="200"/>
      <w:jc w:val="both"/>
    </w:pPr>
    <w:rPr>
      <w:rFonts w:ascii="Times New Roman" w:hAnsi="Times New Roman" w:eastAsia="宋体" w:cs="Times New Roman"/>
      <w:sz w:val="24"/>
      <w:szCs w:val="22"/>
      <w:lang w:val="en-US" w:eastAsia="en-US" w:bidi="en-US"/>
    </w:rPr>
  </w:style>
  <w:style w:type="character" w:customStyle="1" w:styleId="28">
    <w:name w:val="无间隔 Char"/>
    <w:link w:val="27"/>
    <w:qFormat/>
    <w:uiPriority w:val="1"/>
    <w:rPr>
      <w:sz w:val="24"/>
      <w:szCs w:val="22"/>
      <w:lang w:val="en-US" w:eastAsia="en-US" w:bidi="en-US"/>
    </w:rPr>
  </w:style>
  <w:style w:type="character" w:customStyle="1" w:styleId="29">
    <w:name w:val="页脚 字符"/>
    <w:qFormat/>
    <w:uiPriority w:val="99"/>
    <w:rPr>
      <w:kern w:val="2"/>
      <w:sz w:val="18"/>
      <w:szCs w:val="18"/>
    </w:rPr>
  </w:style>
  <w:style w:type="character" w:customStyle="1" w:styleId="30">
    <w:name w:val="10"/>
    <w:qFormat/>
    <w:uiPriority w:val="0"/>
    <w:rPr>
      <w:rFonts w:hint="eastAsia" w:ascii="等线" w:hAnsi="等线" w:eastAsia="等线"/>
    </w:rPr>
  </w:style>
  <w:style w:type="character" w:customStyle="1" w:styleId="31">
    <w:name w:val="15"/>
    <w:qFormat/>
    <w:uiPriority w:val="0"/>
    <w:rPr>
      <w:rFonts w:hint="eastAsia" w:ascii="等线 Light" w:hAnsi="等线 Light" w:eastAsia="宋体" w:cs="Times New Roman"/>
      <w:bCs/>
      <w:sz w:val="32"/>
      <w:szCs w:val="32"/>
    </w:rPr>
  </w:style>
  <w:style w:type="paragraph" w:customStyle="1" w:styleId="32">
    <w:name w:val="正文11"/>
    <w:qFormat/>
    <w:uiPriority w:val="0"/>
    <w:pPr>
      <w:widowControl w:val="0"/>
      <w:jc w:val="both"/>
    </w:pPr>
    <w:rPr>
      <w:rFonts w:ascii="Calibri" w:hAnsi="Calibri" w:eastAsia="宋体" w:cs="Times New Roman"/>
      <w:kern w:val="2"/>
      <w:sz w:val="21"/>
      <w:szCs w:val="22"/>
      <w:lang w:val="en-US" w:eastAsia="zh-CN" w:bidi="ar-SA"/>
    </w:rPr>
  </w:style>
  <w:style w:type="character" w:customStyle="1" w:styleId="33">
    <w:name w:val="标题 3 Char"/>
    <w:link w:val="5"/>
    <w:qFormat/>
    <w:uiPriority w:val="0"/>
    <w:rPr>
      <w:rFonts w:ascii="Times New Roman" w:hAnsi="Times New Roman" w:eastAsiaTheme="minorEastAsia"/>
      <w:bCs/>
      <w:szCs w:val="32"/>
    </w:rPr>
  </w:style>
  <w:style w:type="paragraph" w:customStyle="1" w:styleId="34">
    <w:name w:val="图片"/>
    <w:basedOn w:val="1"/>
    <w:qFormat/>
    <w:uiPriority w:val="0"/>
    <w:pPr>
      <w:spacing w:after="100" w:afterLines="100"/>
      <w:jc w:val="center"/>
    </w:pPr>
    <w:rPr>
      <w:rFonts w:eastAsia="Songti SC" w:cs="Times New Roman Regular"/>
      <w:lang w:eastAsia="zh-Hans"/>
    </w:rPr>
  </w:style>
  <w:style w:type="paragraph" w:customStyle="1" w:styleId="35">
    <w:name w:val="列表段落1"/>
    <w:basedOn w:val="1"/>
    <w:qFormat/>
    <w:uiPriority w:val="34"/>
    <w:pPr>
      <w:ind w:firstLine="420"/>
    </w:pPr>
    <w:rPr>
      <w:rFonts w:cstheme="minorBidi"/>
      <w:szCs w:val="22"/>
    </w:rPr>
  </w:style>
  <w:style w:type="character" w:customStyle="1" w:styleId="36">
    <w:name w:val="font01"/>
    <w:basedOn w:val="17"/>
    <w:qFormat/>
    <w:uiPriority w:val="0"/>
    <w:rPr>
      <w:rFonts w:hint="eastAsia" w:ascii="宋体" w:hAnsi="宋体" w:eastAsia="宋体" w:cs="宋体"/>
      <w:color w:val="000000"/>
      <w:sz w:val="21"/>
      <w:szCs w:val="21"/>
      <w:u w:val="none"/>
    </w:rPr>
  </w:style>
  <w:style w:type="paragraph" w:customStyle="1" w:styleId="37">
    <w:name w:val="段"/>
    <w:qFormat/>
    <w:uiPriority w:val="0"/>
    <w:pPr>
      <w:autoSpaceDE w:val="0"/>
      <w:autoSpaceDN w:val="0"/>
      <w:ind w:firstLine="200" w:firstLineChars="200"/>
      <w:jc w:val="both"/>
    </w:pPr>
    <w:rPr>
      <w:rFonts w:ascii="宋体" w:hAnsi="Times New Roman" w:eastAsia="宋体" w:cs="Times New Roman"/>
      <w:szCs w:val="21"/>
      <w:lang w:val="en-US" w:eastAsia="zh-CN" w:bidi="ar-SA"/>
    </w:rPr>
  </w:style>
  <w:style w:type="character" w:customStyle="1" w:styleId="38">
    <w:name w:val="正文文本 Char"/>
    <w:basedOn w:val="17"/>
    <w:qFormat/>
    <w:uiPriority w:val="0"/>
    <w:rPr>
      <w:kern w:val="2"/>
      <w:sz w:val="21"/>
      <w:szCs w:val="24"/>
    </w:rPr>
  </w:style>
  <w:style w:type="character" w:customStyle="1" w:styleId="39">
    <w:name w:val="正文文本 Char1"/>
    <w:link w:val="7"/>
    <w:qFormat/>
    <w:uiPriority w:val="0"/>
    <w:rPr>
      <w:rFonts w:ascii="Calibri" w:hAnsi="Calibri" w:cs="黑体"/>
      <w:kern w:val="2"/>
      <w:sz w:val="30"/>
      <w:szCs w:val="22"/>
    </w:rPr>
  </w:style>
  <w:style w:type="character" w:customStyle="1" w:styleId="40">
    <w:name w:val="fontstyle01"/>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Pages>
  <Words>3905</Words>
  <Characters>4155</Characters>
  <Lines>31</Lines>
  <Paragraphs>8</Paragraphs>
  <TotalTime>377</TotalTime>
  <ScaleCrop>false</ScaleCrop>
  <LinksUpToDate>false</LinksUpToDate>
  <CharactersWithSpaces>4326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2021-04-22T16:35:00Z</dcterms:created>
  <dc:creator>微软用户</dc:creator>
  <cp:lastModifiedBy>月亮姐姐</cp:lastModifiedBy>
  <cp:lastPrinted>2015-01-29T23:20:00Z</cp:lastPrinted>
  <dcterms:modified xsi:type="dcterms:W3CDTF">2023-03-23T07:22:22Z</dcterms:modified>
  <dc:title>全国教育科学规划领导小组办公室</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833A04DF40DF42898B4777C54E8F769C</vt:lpwstr>
  </property>
</Properties>
</file>